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A85275" w:rsidP="00A85275" w14:paraId="2B49D523" w14:textId="77777777">
      <w:pPr>
        <w:pStyle w:val="Normal0"/>
      </w:pPr>
    </w:p>
    <w:p w:rsidR="00A85275" w:rsidRPr="00252ED0" w:rsidP="00A85275" w14:paraId="4A826FAA" w14:textId="77777777">
      <w:pPr>
        <w:pStyle w:val="Normal0"/>
        <w:rPr>
          <w:b/>
          <w:bCs/>
          <w:i/>
          <w:iCs/>
          <w:lang w:val="pt-BR"/>
        </w:rPr>
      </w:pPr>
      <w:r w:rsidRPr="00252ED0">
        <w:rPr>
          <w:b/>
          <w:bCs/>
          <w:i/>
          <w:iCs/>
          <w:lang w:val="pt-BR"/>
        </w:rPr>
        <w:t>Resumen</w:t>
      </w:r>
    </w:p>
    <w:p w:rsidR="00A85275" w:rsidP="00A85275" w14:paraId="09029F55" w14:textId="15860F30">
      <w:pPr>
        <w:pStyle w:val="Normal0"/>
        <w:rPr>
          <w:lang w:val="pt-BR"/>
        </w:rPr>
      </w:pPr>
      <w:r w:rsidRPr="00252ED0">
        <w:rPr>
          <w:lang w:val="pt-BR"/>
        </w:rPr>
        <w:t xml:space="preserve">Históricamente, el </w:t>
      </w:r>
      <w:r>
        <w:rPr>
          <w:lang w:val="pt-BR"/>
        </w:rPr>
        <w:t>d</w:t>
      </w:r>
      <w:r w:rsidRPr="00252ED0">
        <w:rPr>
          <w:lang w:val="pt-BR"/>
        </w:rPr>
        <w:t xml:space="preserve">istrito de </w:t>
      </w:r>
      <w:r>
        <w:rPr>
          <w:lang w:val="pt-BR"/>
        </w:rPr>
        <w:t>r</w:t>
      </w:r>
      <w:r w:rsidRPr="00252ED0">
        <w:rPr>
          <w:lang w:val="pt-BR"/>
        </w:rPr>
        <w:t xml:space="preserve">iego Tranquillity </w:t>
      </w:r>
      <w:r>
        <w:rPr>
          <w:lang w:val="pt-BR"/>
        </w:rPr>
        <w:t xml:space="preserve">Irrigation District </w:t>
      </w:r>
      <w:r w:rsidRPr="00252ED0">
        <w:rPr>
          <w:lang w:val="pt-BR"/>
        </w:rPr>
        <w:t xml:space="preserve">(el </w:t>
      </w:r>
      <w:r>
        <w:rPr>
          <w:lang w:val="pt-BR"/>
        </w:rPr>
        <w:t>“</w:t>
      </w:r>
      <w:r w:rsidRPr="00252ED0">
        <w:rPr>
          <w:lang w:val="pt-BR"/>
        </w:rPr>
        <w:t>Distrito</w:t>
      </w:r>
      <w:r>
        <w:rPr>
          <w:lang w:val="pt-BR"/>
        </w:rPr>
        <w:t>”</w:t>
      </w:r>
      <w:r w:rsidRPr="00252ED0">
        <w:rPr>
          <w:lang w:val="pt-BR"/>
        </w:rPr>
        <w:t xml:space="preserve">) ha establecido cargos volumétricos por agua suficientes para recuperar los gastos del Distrito relacionados con </w:t>
      </w:r>
      <w:r>
        <w:rPr>
          <w:lang w:val="pt-BR"/>
        </w:rPr>
        <w:t xml:space="preserve">proveer </w:t>
      </w:r>
      <w:r w:rsidRPr="00252ED0">
        <w:rPr>
          <w:lang w:val="pt-BR"/>
        </w:rPr>
        <w:t xml:space="preserve">agua </w:t>
      </w:r>
      <w:r>
        <w:rPr>
          <w:lang w:val="pt-BR"/>
        </w:rPr>
        <w:t>municipal</w:t>
      </w:r>
      <w:r w:rsidRPr="00252ED0">
        <w:rPr>
          <w:lang w:val="pt-BR"/>
        </w:rPr>
        <w:t xml:space="preserve">. Estos cargos por agua se describen con mayor detalle en el “Estudio de Tarifas para el Aumento Propuesto de Tasas de Agua Agrícola” fechado el 15 de </w:t>
      </w:r>
      <w:r w:rsidR="00B808CF">
        <w:rPr>
          <w:lang w:val="pt-BR"/>
        </w:rPr>
        <w:t>O</w:t>
      </w:r>
      <w:r w:rsidRPr="00252ED0">
        <w:rPr>
          <w:lang w:val="pt-BR"/>
        </w:rPr>
        <w:t>ctubre de 2025, y preparado por el Grupo de Consultoría Provost &amp; Pritchard para el Distrito. Copias de este Estudio de Tarifas están disponibles a solicitud y en el sitio web del Distrito:</w:t>
      </w:r>
      <w:r>
        <w:rPr>
          <w:lang w:val="pt-BR"/>
        </w:rPr>
        <w:t xml:space="preserve"> </w:t>
      </w:r>
      <w:r w:rsidRPr="00B42B38">
        <w:rPr>
          <w:rStyle w:val="DefaultParagraphFont"/>
          <w:lang w:val="pt-BR"/>
        </w:rPr>
        <w:t>http://trqid.com/wp/reports/</w:t>
      </w:r>
      <w:r w:rsidRPr="00252ED0">
        <w:rPr>
          <w:lang w:val="pt-BR"/>
        </w:rPr>
        <w:t>.</w:t>
      </w:r>
    </w:p>
    <w:p w:rsidR="00A85275" w:rsidP="00A85275" w14:paraId="3D7C938F" w14:textId="77777777">
      <w:pPr>
        <w:pStyle w:val="Normal0"/>
        <w:rPr>
          <w:lang w:val="pt-BR"/>
        </w:rPr>
      </w:pPr>
    </w:p>
    <w:p w:rsidR="00A85275" w:rsidRPr="00252ED0" w:rsidP="00A85275" w14:paraId="7706E981" w14:textId="28F25146">
      <w:pPr>
        <w:pStyle w:val="Normal0"/>
        <w:rPr>
          <w:lang w:val="pt-BR"/>
        </w:rPr>
      </w:pPr>
      <w:r w:rsidRPr="00A85275">
        <w:rPr>
          <w:lang w:val="pt-BR"/>
        </w:rPr>
        <w:t>Bajo la estructura actual de tarifas, los clientes son cobrados una tarifa fija de $50.00 por mes por usuario. Con la reciente instalación de medidores de agua, el Distrito puede medir el consumo real en cada conexión y alinear los costos en función del uso real y del costo del servicio por cliente. Por lo tanto, el Distrito propone una nueva estructura de tarifas para los clientes del servicio de agua municipal que distribuye los costos de acuerdo con las demandas que su uso de agua impone al sistema.</w:t>
      </w:r>
    </w:p>
    <w:p w:rsidR="00A85275" w:rsidRPr="001B4366" w:rsidP="00A85275" w14:paraId="00669AD1" w14:textId="77777777">
      <w:pPr>
        <w:jc w:val="both"/>
        <w:rPr>
          <w:rFonts w:eastAsia="Arial Unicode MS"/>
          <w:kern w:val="24"/>
          <w:lang w:val="pt-BR"/>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3349"/>
        <w:gridCol w:w="1228"/>
        <w:gridCol w:w="2264"/>
        <w:gridCol w:w="2519"/>
      </w:tblGrid>
      <w:tr w14:paraId="41946E8B" w14:textId="77777777" w:rsidTr="00552CC8">
        <w:tblPrEx>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rPr>
          <w:trHeight w:val="611"/>
          <w:jc w:val="center"/>
        </w:trPr>
        <w:tc>
          <w:tcPr>
            <w:tcW w:w="3780" w:type="dxa"/>
            <w:tcBorders>
              <w:top w:val="single" w:sz="4" w:space="0" w:color="auto"/>
              <w:bottom w:val="single" w:sz="4" w:space="0" w:color="auto"/>
            </w:tcBorders>
            <w:vAlign w:val="center"/>
          </w:tcPr>
          <w:p w:rsidR="00A85275" w:rsidRPr="00962E97" w:rsidP="00552CC8" w14:paraId="7B4DF24E" w14:textId="101F46BD">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A85275">
              <w:rPr>
                <w:rFonts w:ascii="Times New Roman" w:eastAsia="Arial Unicode MS" w:hAnsi="Times New Roman" w:cs="Times New Roman"/>
                <w:kern w:val="24"/>
                <w:sz w:val="22"/>
                <w:szCs w:val="22"/>
                <w:lang w:val="en-US" w:eastAsia="en-US" w:bidi="ar-SA"/>
                <w14:ligatures w14:val="standardContextual"/>
              </w:rPr>
              <w:t>Clasificación</w:t>
            </w:r>
          </w:p>
        </w:tc>
        <w:tc>
          <w:tcPr>
            <w:tcW w:w="1283" w:type="dxa"/>
            <w:tcBorders>
              <w:top w:val="single" w:sz="4" w:space="0" w:color="auto"/>
              <w:bottom w:val="single" w:sz="4" w:space="0" w:color="auto"/>
            </w:tcBorders>
            <w:vAlign w:val="center"/>
          </w:tcPr>
          <w:p w:rsidR="00A85275" w:rsidP="00552CC8" w14:paraId="7F042DDA"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A85275">
              <w:rPr>
                <w:rFonts w:ascii="Times New Roman" w:eastAsia="Arial Unicode MS" w:hAnsi="Times New Roman" w:cs="Times New Roman"/>
                <w:kern w:val="24"/>
                <w:sz w:val="22"/>
                <w:szCs w:val="22"/>
                <w:lang w:val="en-US" w:eastAsia="en-US" w:bidi="ar-SA"/>
                <w14:ligatures w14:val="standardContextual"/>
              </w:rPr>
              <w:t>Tamaño del Medidor</w:t>
            </w:r>
          </w:p>
          <w:p w:rsidR="00D83768" w:rsidRPr="00962E97" w:rsidP="00552CC8" w14:paraId="785584E2" w14:textId="204AD258">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p>
        </w:tc>
        <w:tc>
          <w:tcPr>
            <w:tcW w:w="2545" w:type="dxa"/>
            <w:tcBorders>
              <w:top w:val="single" w:sz="4" w:space="0" w:color="auto"/>
              <w:bottom w:val="single" w:sz="4" w:space="0" w:color="auto"/>
            </w:tcBorders>
          </w:tcPr>
          <w:p w:rsidR="00A85275" w:rsidRPr="00962E97" w:rsidP="00552CC8" w14:paraId="07C32212" w14:textId="2919B392">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D83768">
              <w:rPr>
                <w:rFonts w:ascii="Times New Roman" w:eastAsia="Arial Unicode MS" w:hAnsi="Times New Roman" w:cs="Times New Roman"/>
                <w:kern w:val="24"/>
                <w:sz w:val="22"/>
                <w:szCs w:val="22"/>
                <w:lang w:val="en-US" w:eastAsia="en-US" w:bidi="ar-SA"/>
                <w14:ligatures w14:val="standardContextual"/>
              </w:rPr>
              <w:t>Tarifa Mensual Actual</w:t>
            </w:r>
          </w:p>
        </w:tc>
        <w:tc>
          <w:tcPr>
            <w:tcW w:w="2832" w:type="dxa"/>
            <w:tcBorders>
              <w:top w:val="single" w:sz="4" w:space="0" w:color="auto"/>
              <w:bottom w:val="single" w:sz="4" w:space="0" w:color="auto"/>
            </w:tcBorders>
          </w:tcPr>
          <w:p w:rsidR="00A85275" w:rsidRPr="00962E97" w:rsidP="00552CC8" w14:paraId="63FED092" w14:textId="3B7469AE">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D83768">
              <w:rPr>
                <w:rFonts w:ascii="Times New Roman" w:eastAsia="Arial Unicode MS" w:hAnsi="Times New Roman" w:cs="Times New Roman"/>
                <w:kern w:val="24"/>
                <w:sz w:val="22"/>
                <w:szCs w:val="22"/>
                <w:lang w:val="en-US" w:eastAsia="en-US" w:bidi="ar-SA"/>
                <w14:ligatures w14:val="standardContextual"/>
              </w:rPr>
              <w:t>Tarifa Mensual Máxima Propuesta</w:t>
            </w:r>
          </w:p>
        </w:tc>
      </w:tr>
      <w:tr w14:paraId="0CFB54AA" w14:textId="77777777" w:rsidTr="00552CC8">
        <w:tblPrEx>
          <w:tblW w:w="0" w:type="auto"/>
          <w:jc w:val="center"/>
          <w:tblInd w:w="0" w:type="dxa"/>
          <w:tblCellMar>
            <w:top w:w="0" w:type="dxa"/>
            <w:left w:w="108" w:type="dxa"/>
            <w:bottom w:w="0" w:type="dxa"/>
            <w:right w:w="108" w:type="dxa"/>
          </w:tblCellMar>
          <w:tblLook w:val="04A0"/>
        </w:tblPrEx>
        <w:trPr>
          <w:jc w:val="center"/>
        </w:trPr>
        <w:tc>
          <w:tcPr>
            <w:tcW w:w="3780" w:type="dxa"/>
            <w:vMerge w:val="restart"/>
            <w:tcBorders>
              <w:top w:val="single" w:sz="4" w:space="0" w:color="auto"/>
            </w:tcBorders>
            <w:vAlign w:val="center"/>
          </w:tcPr>
          <w:p w:rsidR="00A85275" w:rsidRPr="00962E97" w:rsidP="00552CC8" w14:paraId="7661ADD9" w14:textId="3D6F54CE">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A85275">
              <w:rPr>
                <w:rFonts w:ascii="Times New Roman" w:eastAsia="Arial Unicode MS" w:hAnsi="Times New Roman" w:cs="Times New Roman"/>
                <w:kern w:val="24"/>
                <w:sz w:val="22"/>
                <w:szCs w:val="22"/>
                <w:lang w:val="en-US" w:eastAsia="en-US" w:bidi="ar-SA"/>
                <w14:ligatures w14:val="standardContextual"/>
              </w:rPr>
              <w:t>Tarifa de Agua Municipal</w:t>
            </w:r>
          </w:p>
        </w:tc>
        <w:tc>
          <w:tcPr>
            <w:tcW w:w="1283" w:type="dxa"/>
            <w:tcBorders>
              <w:top w:val="single" w:sz="4" w:space="0" w:color="auto"/>
            </w:tcBorders>
          </w:tcPr>
          <w:p w:rsidR="00A85275" w:rsidRPr="00962E97" w:rsidP="00552CC8" w14:paraId="1C57587E"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1”</w:t>
            </w:r>
          </w:p>
        </w:tc>
        <w:tc>
          <w:tcPr>
            <w:tcW w:w="2545" w:type="dxa"/>
            <w:tcBorders>
              <w:top w:val="single" w:sz="4" w:space="0" w:color="auto"/>
            </w:tcBorders>
            <w:vAlign w:val="center"/>
          </w:tcPr>
          <w:p w:rsidR="00A85275" w:rsidRPr="00962E97" w:rsidP="00552CC8" w14:paraId="5DEA9A96"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$50.00</w:t>
            </w:r>
          </w:p>
        </w:tc>
        <w:tc>
          <w:tcPr>
            <w:tcW w:w="2832" w:type="dxa"/>
            <w:tcBorders>
              <w:top w:val="single" w:sz="4" w:space="0" w:color="auto"/>
            </w:tcBorders>
            <w:vAlign w:val="center"/>
          </w:tcPr>
          <w:p w:rsidR="00A85275" w:rsidRPr="00962E97" w:rsidP="00552CC8" w14:paraId="0C394AE8"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 xml:space="preserve">$36.27 </w:t>
            </w:r>
          </w:p>
        </w:tc>
      </w:tr>
      <w:tr w14:paraId="00AABFF9" w14:textId="77777777" w:rsidTr="00552CC8">
        <w:tblPrEx>
          <w:tblW w:w="0" w:type="auto"/>
          <w:jc w:val="center"/>
          <w:tblInd w:w="0" w:type="dxa"/>
          <w:tblCellMar>
            <w:top w:w="0" w:type="dxa"/>
            <w:left w:w="108" w:type="dxa"/>
            <w:bottom w:w="0" w:type="dxa"/>
            <w:right w:w="108" w:type="dxa"/>
          </w:tblCellMar>
          <w:tblLook w:val="04A0"/>
        </w:tblPrEx>
        <w:trPr>
          <w:jc w:val="center"/>
        </w:trPr>
        <w:tc>
          <w:tcPr>
            <w:tcW w:w="3780" w:type="dxa"/>
            <w:vMerge/>
          </w:tcPr>
          <w:p w:rsidR="00A85275" w:rsidRPr="00962E97" w:rsidP="00552CC8" w14:paraId="20EBC1F2"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p>
        </w:tc>
        <w:tc>
          <w:tcPr>
            <w:tcW w:w="1283" w:type="dxa"/>
          </w:tcPr>
          <w:p w:rsidR="00A85275" w:rsidRPr="00962E97" w:rsidP="00552CC8" w14:paraId="0F7C1FA2"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2”</w:t>
            </w:r>
          </w:p>
        </w:tc>
        <w:tc>
          <w:tcPr>
            <w:tcW w:w="2545" w:type="dxa"/>
            <w:vAlign w:val="center"/>
          </w:tcPr>
          <w:p w:rsidR="00A85275" w:rsidRPr="00962E97" w:rsidP="00552CC8" w14:paraId="27D63E9A"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$50.00</w:t>
            </w:r>
          </w:p>
        </w:tc>
        <w:tc>
          <w:tcPr>
            <w:tcW w:w="2832" w:type="dxa"/>
            <w:vAlign w:val="bottom"/>
          </w:tcPr>
          <w:p w:rsidR="00A85275" w:rsidRPr="00962E97" w:rsidP="00552CC8" w14:paraId="612C6EFD"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$105.50</w:t>
            </w:r>
          </w:p>
        </w:tc>
      </w:tr>
      <w:tr w14:paraId="74B76B02" w14:textId="77777777" w:rsidTr="00552CC8">
        <w:tblPrEx>
          <w:tblW w:w="0" w:type="auto"/>
          <w:jc w:val="center"/>
          <w:tblInd w:w="0" w:type="dxa"/>
          <w:tblCellMar>
            <w:top w:w="0" w:type="dxa"/>
            <w:left w:w="108" w:type="dxa"/>
            <w:bottom w:w="0" w:type="dxa"/>
            <w:right w:w="108" w:type="dxa"/>
          </w:tblCellMar>
          <w:tblLook w:val="04A0"/>
        </w:tblPrEx>
        <w:trPr>
          <w:jc w:val="center"/>
        </w:trPr>
        <w:tc>
          <w:tcPr>
            <w:tcW w:w="3780" w:type="dxa"/>
            <w:vMerge/>
          </w:tcPr>
          <w:p w:rsidR="00A85275" w:rsidRPr="00962E97" w:rsidP="00552CC8" w14:paraId="319361B0"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p>
        </w:tc>
        <w:tc>
          <w:tcPr>
            <w:tcW w:w="1283" w:type="dxa"/>
          </w:tcPr>
          <w:p w:rsidR="00A85275" w:rsidRPr="00962E97" w:rsidP="00552CC8" w14:paraId="7E17798C"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3”</w:t>
            </w:r>
          </w:p>
        </w:tc>
        <w:tc>
          <w:tcPr>
            <w:tcW w:w="2545" w:type="dxa"/>
            <w:vAlign w:val="center"/>
          </w:tcPr>
          <w:p w:rsidR="00A85275" w:rsidRPr="00962E97" w:rsidP="00552CC8" w14:paraId="659EE8AE"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$50.00</w:t>
            </w:r>
          </w:p>
        </w:tc>
        <w:tc>
          <w:tcPr>
            <w:tcW w:w="2832" w:type="dxa"/>
            <w:vAlign w:val="bottom"/>
          </w:tcPr>
          <w:p w:rsidR="00A85275" w:rsidRPr="00962E97" w:rsidP="00552CC8" w14:paraId="1C514456"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$369.25</w:t>
            </w:r>
          </w:p>
        </w:tc>
      </w:tr>
      <w:tr w14:paraId="6E723639" w14:textId="77777777" w:rsidTr="00552CC8">
        <w:tblPrEx>
          <w:tblW w:w="0" w:type="auto"/>
          <w:jc w:val="center"/>
          <w:tblInd w:w="0" w:type="dxa"/>
          <w:tblCellMar>
            <w:top w:w="0" w:type="dxa"/>
            <w:left w:w="108" w:type="dxa"/>
            <w:bottom w:w="0" w:type="dxa"/>
            <w:right w:w="108" w:type="dxa"/>
          </w:tblCellMar>
          <w:tblLook w:val="04A0"/>
        </w:tblPrEx>
        <w:trPr>
          <w:jc w:val="center"/>
        </w:trPr>
        <w:tc>
          <w:tcPr>
            <w:tcW w:w="3780" w:type="dxa"/>
            <w:vMerge/>
            <w:tcBorders>
              <w:bottom w:val="single" w:sz="4" w:space="0" w:color="auto"/>
            </w:tcBorders>
          </w:tcPr>
          <w:p w:rsidR="00A85275" w:rsidRPr="00962E97" w:rsidP="00552CC8" w14:paraId="3B912EC7"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p>
        </w:tc>
        <w:tc>
          <w:tcPr>
            <w:tcW w:w="1283" w:type="dxa"/>
            <w:tcBorders>
              <w:bottom w:val="single" w:sz="4" w:space="0" w:color="auto"/>
            </w:tcBorders>
          </w:tcPr>
          <w:p w:rsidR="00A85275" w:rsidRPr="00962E97" w:rsidP="00552CC8" w14:paraId="4BBC564B"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4”</w:t>
            </w:r>
          </w:p>
        </w:tc>
        <w:tc>
          <w:tcPr>
            <w:tcW w:w="2545" w:type="dxa"/>
            <w:tcBorders>
              <w:bottom w:val="single" w:sz="4" w:space="0" w:color="auto"/>
            </w:tcBorders>
            <w:vAlign w:val="center"/>
          </w:tcPr>
          <w:p w:rsidR="00A85275" w:rsidRPr="00962E97" w:rsidP="00552CC8" w14:paraId="13475876"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w:t>
            </w:r>
          </w:p>
        </w:tc>
        <w:tc>
          <w:tcPr>
            <w:tcW w:w="2832" w:type="dxa"/>
            <w:tcBorders>
              <w:bottom w:val="single" w:sz="4" w:space="0" w:color="auto"/>
            </w:tcBorders>
            <w:vAlign w:val="bottom"/>
          </w:tcPr>
          <w:p w:rsidR="00A85275" w:rsidRPr="00962E97" w:rsidP="00552CC8" w14:paraId="331958D8"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hAnsi="Times New Roman" w:eastAsiaTheme="minorHAnsi" w:cs="Times New Roman"/>
                <w:color w:val="000000"/>
                <w:kern w:val="2"/>
                <w:sz w:val="22"/>
                <w:szCs w:val="22"/>
                <w:lang w:val="en-US" w:eastAsia="en-US" w:bidi="ar-SA"/>
                <w14:ligatures w14:val="standardContextual"/>
              </w:rPr>
              <w:t>$725.31</w:t>
            </w:r>
          </w:p>
        </w:tc>
      </w:tr>
      <w:tr w14:paraId="3819A7F4" w14:textId="77777777" w:rsidTr="00552CC8">
        <w:tblPrEx>
          <w:tblW w:w="0" w:type="auto"/>
          <w:jc w:val="center"/>
          <w:tblInd w:w="0" w:type="dxa"/>
          <w:tblCellMar>
            <w:top w:w="0" w:type="dxa"/>
            <w:left w:w="108" w:type="dxa"/>
            <w:bottom w:w="0" w:type="dxa"/>
            <w:right w:w="108" w:type="dxa"/>
          </w:tblCellMar>
          <w:tblLook w:val="04A0"/>
        </w:tblPrEx>
        <w:trPr>
          <w:trHeight w:val="287"/>
          <w:jc w:val="center"/>
        </w:trPr>
        <w:tc>
          <w:tcPr>
            <w:tcW w:w="3780" w:type="dxa"/>
            <w:tcBorders>
              <w:top w:val="single" w:sz="4" w:space="0" w:color="auto"/>
              <w:bottom w:val="single" w:sz="4" w:space="0" w:color="auto"/>
            </w:tcBorders>
            <w:vAlign w:val="bottom"/>
          </w:tcPr>
          <w:p w:rsidR="00A85275" w:rsidRPr="00962E97" w:rsidP="00552CC8" w14:paraId="2E972E28" w14:textId="28212A79">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A85275">
              <w:rPr>
                <w:rFonts w:ascii="Times New Roman" w:eastAsia="Arial Unicode MS" w:hAnsi="Times New Roman" w:cs="Times New Roman"/>
                <w:kern w:val="24"/>
                <w:sz w:val="22"/>
                <w:szCs w:val="22"/>
                <w:lang w:val="en-US" w:eastAsia="en-US" w:bidi="ar-SA"/>
                <w14:ligatures w14:val="standardContextual"/>
              </w:rPr>
              <w:t>Tarifa Excedente* [$/1,000 gal]</w:t>
            </w:r>
          </w:p>
        </w:tc>
        <w:tc>
          <w:tcPr>
            <w:tcW w:w="1283" w:type="dxa"/>
            <w:tcBorders>
              <w:top w:val="single" w:sz="4" w:space="0" w:color="auto"/>
              <w:bottom w:val="single" w:sz="4" w:space="0" w:color="auto"/>
            </w:tcBorders>
            <w:vAlign w:val="bottom"/>
          </w:tcPr>
          <w:p w:rsidR="00A85275" w:rsidRPr="00962E97" w:rsidP="00552CC8" w14:paraId="78D27B56"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Pr>
                <w:rFonts w:ascii="Times New Roman" w:eastAsia="Arial Unicode MS" w:hAnsi="Times New Roman" w:cs="Times New Roman"/>
                <w:kern w:val="24"/>
                <w:sz w:val="22"/>
                <w:szCs w:val="22"/>
                <w:lang w:val="en-US" w:eastAsia="en-US" w:bidi="ar-SA"/>
                <w14:ligatures w14:val="standardContextual"/>
              </w:rPr>
              <w:t>--</w:t>
            </w:r>
          </w:p>
        </w:tc>
        <w:tc>
          <w:tcPr>
            <w:tcW w:w="2545" w:type="dxa"/>
            <w:tcBorders>
              <w:top w:val="single" w:sz="4" w:space="0" w:color="auto"/>
              <w:bottom w:val="single" w:sz="4" w:space="0" w:color="auto"/>
            </w:tcBorders>
            <w:vAlign w:val="bottom"/>
          </w:tcPr>
          <w:p w:rsidR="00A85275" w:rsidRPr="00962E97" w:rsidP="00552CC8" w14:paraId="3DD28508"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$0.00</w:t>
            </w:r>
          </w:p>
        </w:tc>
        <w:tc>
          <w:tcPr>
            <w:tcW w:w="2832" w:type="dxa"/>
            <w:tcBorders>
              <w:top w:val="single" w:sz="4" w:space="0" w:color="auto"/>
              <w:bottom w:val="single" w:sz="4" w:space="0" w:color="auto"/>
            </w:tcBorders>
            <w:vAlign w:val="bottom"/>
          </w:tcPr>
          <w:p w:rsidR="00A85275" w:rsidRPr="00962E97" w:rsidP="00552CC8" w14:paraId="5046683C" w14:textId="77777777">
            <w:pPr>
              <w:suppressAutoHyphens/>
              <w:spacing w:after="0" w:line="240" w:lineRule="auto"/>
              <w:jc w:val="center"/>
              <w:rPr>
                <w:rFonts w:ascii="Times New Roman" w:eastAsia="Arial Unicode MS" w:hAnsi="Times New Roman" w:cs="Times New Roman"/>
                <w:kern w:val="24"/>
                <w:sz w:val="22"/>
                <w:szCs w:val="22"/>
                <w:lang w:val="en-US" w:eastAsia="en-US" w:bidi="ar-SA"/>
                <w14:ligatures w14:val="standardContextual"/>
              </w:rPr>
            </w:pPr>
            <w:r w:rsidRPr="00962E97">
              <w:rPr>
                <w:rFonts w:ascii="Times New Roman" w:eastAsia="Arial Unicode MS" w:hAnsi="Times New Roman" w:cs="Times New Roman"/>
                <w:kern w:val="24"/>
                <w:sz w:val="22"/>
                <w:szCs w:val="22"/>
                <w:lang w:val="en-US" w:eastAsia="en-US" w:bidi="ar-SA"/>
                <w14:ligatures w14:val="standardContextual"/>
              </w:rPr>
              <w:t>$1.59</w:t>
            </w:r>
          </w:p>
        </w:tc>
      </w:tr>
    </w:tbl>
    <w:p w:rsidR="00A85275" w:rsidRPr="00D83768" w:rsidP="00A85275" w14:paraId="4B4D1388" w14:textId="5B0FA4D8">
      <w:pPr>
        <w:rPr>
          <w:i/>
          <w:iCs/>
          <w:sz w:val="20"/>
          <w:szCs w:val="18"/>
          <w:lang w:val="pt-BR"/>
        </w:rPr>
      </w:pPr>
      <w:r w:rsidRPr="00D83768">
        <w:rPr>
          <w:sz w:val="20"/>
          <w:szCs w:val="18"/>
          <w:lang w:val="pt-BR"/>
        </w:rPr>
        <w:t>*</w:t>
      </w:r>
      <w:r w:rsidRPr="00D83768" w:rsidR="00D83768">
        <w:rPr>
          <w:i/>
          <w:iCs/>
          <w:sz w:val="20"/>
          <w:szCs w:val="18"/>
          <w:lang w:val="pt-BR"/>
        </w:rPr>
        <w:t>Los volúmenes de tarifa base son 15,000 galones por mes (GPM). Cantidades superiores a esa cantidad están sujetas a la Tarifa Excedente.</w:t>
      </w:r>
    </w:p>
    <w:p w:rsidR="00A85275" w:rsidRPr="00D83768" w:rsidP="00A85275" w14:paraId="50121E79" w14:textId="220313A6">
      <w:pPr>
        <w:pStyle w:val="Normal0"/>
        <w:rPr>
          <w:lang w:val="pt-BR"/>
        </w:rPr>
      </w:pPr>
      <w:r w:rsidRPr="00D83768">
        <w:rPr>
          <w:i/>
          <w:iCs/>
          <w:sz w:val="20"/>
          <w:szCs w:val="18"/>
          <w:lang w:val="pt-BR"/>
        </w:rPr>
        <w:t xml:space="preserve">** </w:t>
      </w:r>
      <w:r w:rsidRPr="00D83768" w:rsidR="00D83768">
        <w:rPr>
          <w:i/>
          <w:iCs/>
          <w:sz w:val="20"/>
          <w:szCs w:val="18"/>
          <w:lang w:val="pt-BR"/>
        </w:rPr>
        <w:t xml:space="preserve">No existía una tarifa independiente previa para medidores de 4”; </w:t>
      </w:r>
      <w:r w:rsidR="00D83768">
        <w:rPr>
          <w:i/>
          <w:iCs/>
          <w:sz w:val="20"/>
          <w:szCs w:val="18"/>
          <w:lang w:val="pt-BR"/>
        </w:rPr>
        <w:t>El cobro</w:t>
      </w:r>
      <w:r w:rsidRPr="00D83768" w:rsidR="00D83768">
        <w:rPr>
          <w:i/>
          <w:iCs/>
          <w:sz w:val="20"/>
          <w:szCs w:val="18"/>
          <w:lang w:val="pt-BR"/>
        </w:rPr>
        <w:t xml:space="preserve"> se realizaba a un agregado más alto para usuarios con medidores de 4”.</w:t>
      </w:r>
    </w:p>
    <w:p w:rsidR="00A85275" w:rsidRPr="00D83768" w:rsidP="00A85275" w14:paraId="44CFFAD2" w14:textId="77777777">
      <w:pPr>
        <w:pStyle w:val="Normal0"/>
        <w:rPr>
          <w:lang w:val="pt-BR"/>
        </w:rPr>
      </w:pPr>
    </w:p>
    <w:p w:rsidR="00A85275" w:rsidRPr="00053505" w:rsidP="00A85275" w14:paraId="6227EA69" w14:textId="77777777">
      <w:pPr>
        <w:pStyle w:val="Normal0"/>
        <w:rPr>
          <w:b/>
          <w:bCs/>
          <w:i/>
          <w:iCs/>
          <w:lang w:val="pt-BR"/>
        </w:rPr>
      </w:pPr>
      <w:r w:rsidRPr="00053505">
        <w:rPr>
          <w:b/>
          <w:bCs/>
          <w:i/>
          <w:iCs/>
          <w:lang w:val="pt-BR"/>
        </w:rPr>
        <w:t>Proceso de Notificación Pública</w:t>
      </w:r>
    </w:p>
    <w:p w:rsidR="00A85275" w:rsidP="00A85275" w14:paraId="3058B1E9" w14:textId="77777777">
      <w:pPr>
        <w:pStyle w:val="Normal0"/>
        <w:rPr>
          <w:lang w:val="pt-BR"/>
        </w:rPr>
      </w:pPr>
      <w:r w:rsidRPr="00053505">
        <w:rPr>
          <w:lang w:val="pt-BR"/>
        </w:rPr>
        <w:t xml:space="preserve">En 1996, los votantes de California adoptaron la Proposición 218. Entre otras cosas, la Proposición 218 exige que las agencias públicas sigan un proceso específico para imponer o aumentar ciertos tipos de tarifas, incluidas las tasas y cargos por agua. En particular, las disposiciones de la Proposición 218 establecidas en el Artículo XIII D, Sección 6 de la Constitución de California disponen que ciertos tipos de “Tarifas Relacionadas con la Propiedad” están sujetos a un proceso de “protesta mayoritaria”. Si se presentan protestas en nombre de la mayoría (50% más uno) de las parcelas sujetas a las tasas y cargos propuestos antes del cierre de la audiencia pública que tendrá lugar el 17 de </w:t>
      </w:r>
      <w:r>
        <w:rPr>
          <w:lang w:val="pt-BR"/>
        </w:rPr>
        <w:t>D</w:t>
      </w:r>
      <w:r w:rsidRPr="00053505">
        <w:rPr>
          <w:lang w:val="pt-BR"/>
        </w:rPr>
        <w:t>iciembre de 2025, el Distrito no podrá adoptar las tarifas</w:t>
      </w:r>
      <w:r>
        <w:rPr>
          <w:lang w:val="pt-BR"/>
        </w:rPr>
        <w:t xml:space="preserve"> </w:t>
      </w:r>
      <w:r w:rsidRPr="00053505">
        <w:rPr>
          <w:lang w:val="pt-BR"/>
        </w:rPr>
        <w:t>de agua propuestas. Si la mayoría de las parcelas no protesta contra las tarifas</w:t>
      </w:r>
      <w:r>
        <w:rPr>
          <w:lang w:val="pt-BR"/>
        </w:rPr>
        <w:t xml:space="preserve"> </w:t>
      </w:r>
      <w:r w:rsidRPr="00053505">
        <w:rPr>
          <w:lang w:val="pt-BR"/>
        </w:rPr>
        <w:t>propuestas, la Junta Directiva del Distrito podrá proceder a adoptar las tarifas</w:t>
      </w:r>
      <w:r>
        <w:rPr>
          <w:lang w:val="pt-BR"/>
        </w:rPr>
        <w:t xml:space="preserve"> </w:t>
      </w:r>
      <w:r w:rsidRPr="00053505">
        <w:rPr>
          <w:lang w:val="pt-BR"/>
        </w:rPr>
        <w:t>propuestas en una cantidad de hasta la tarifas</w:t>
      </w:r>
      <w:r>
        <w:rPr>
          <w:lang w:val="pt-BR"/>
        </w:rPr>
        <w:t xml:space="preserve"> </w:t>
      </w:r>
      <w:r w:rsidRPr="00053505">
        <w:rPr>
          <w:lang w:val="pt-BR"/>
        </w:rPr>
        <w:t>máxima propuesta. Las tarifas</w:t>
      </w:r>
      <w:r>
        <w:rPr>
          <w:lang w:val="pt-BR"/>
        </w:rPr>
        <w:t xml:space="preserve"> </w:t>
      </w:r>
      <w:r w:rsidRPr="00053505">
        <w:rPr>
          <w:lang w:val="pt-BR"/>
        </w:rPr>
        <w:t xml:space="preserve">propuestas, si se aprueban, entrarán en vigor no antes del 1 de </w:t>
      </w:r>
      <w:r>
        <w:rPr>
          <w:lang w:val="pt-BR"/>
        </w:rPr>
        <w:t>E</w:t>
      </w:r>
      <w:r w:rsidRPr="00053505">
        <w:rPr>
          <w:lang w:val="pt-BR"/>
        </w:rPr>
        <w:t>nero de 2026.</w:t>
      </w:r>
    </w:p>
    <w:p w:rsidR="00A85275" w:rsidP="00A85275" w14:paraId="55AE0379" w14:textId="77777777">
      <w:pPr>
        <w:pStyle w:val="Normal0"/>
        <w:rPr>
          <w:lang w:val="pt-BR"/>
        </w:rPr>
      </w:pPr>
    </w:p>
    <w:p w:rsidR="00D83768" w:rsidP="00A85275" w14:paraId="0D2A08D4" w14:textId="77777777">
      <w:pPr>
        <w:pStyle w:val="Normal0"/>
        <w:rPr>
          <w:lang w:val="pt-BR"/>
        </w:rPr>
      </w:pPr>
    </w:p>
    <w:p w:rsidR="00D83768" w:rsidP="00A85275" w14:paraId="6B4184F5" w14:textId="77777777">
      <w:pPr>
        <w:pStyle w:val="Normal0"/>
        <w:rPr>
          <w:b/>
          <w:bCs/>
          <w:lang w:val="pt-BR"/>
        </w:rPr>
      </w:pPr>
    </w:p>
    <w:p w:rsidR="00A85275" w:rsidRPr="004F70E1" w:rsidP="00A85275" w14:paraId="0FC80BE8" w14:textId="20A168E3">
      <w:pPr>
        <w:pStyle w:val="Normal0"/>
        <w:rPr>
          <w:b/>
          <w:bCs/>
          <w:lang w:val="pt-BR"/>
        </w:rPr>
      </w:pPr>
      <w:r w:rsidRPr="004F70E1">
        <w:rPr>
          <w:b/>
          <w:bCs/>
          <w:lang w:val="pt-BR"/>
        </w:rPr>
        <w:t xml:space="preserve">Proceso de Objeción </w:t>
      </w:r>
      <w:r>
        <w:rPr>
          <w:b/>
          <w:bCs/>
          <w:lang w:val="pt-BR"/>
        </w:rPr>
        <w:t xml:space="preserve">por </w:t>
      </w:r>
      <w:r w:rsidRPr="004F70E1">
        <w:rPr>
          <w:b/>
          <w:bCs/>
          <w:lang w:val="pt-BR"/>
        </w:rPr>
        <w:t>Escri</w:t>
      </w:r>
      <w:r>
        <w:rPr>
          <w:b/>
          <w:bCs/>
          <w:lang w:val="pt-BR"/>
        </w:rPr>
        <w:t>to</w:t>
      </w:r>
    </w:p>
    <w:p w:rsidR="00A85275" w:rsidP="00A85275" w14:paraId="087D79AF" w14:textId="78417F23">
      <w:pPr>
        <w:pStyle w:val="Normal0"/>
        <w:rPr>
          <w:lang w:val="pt-BR"/>
        </w:rPr>
      </w:pPr>
      <w:r w:rsidRPr="004F70E1">
        <w:rPr>
          <w:lang w:val="pt-BR"/>
        </w:rPr>
        <w:t xml:space="preserve">El Distrito implementará el Código de Gobierno § 53759.1 (AB 2257) relacionado con las tarifas </w:t>
      </w:r>
      <w:r w:rsidR="00D83768">
        <w:rPr>
          <w:lang w:val="pt-BR"/>
        </w:rPr>
        <w:t>para uso municipal</w:t>
      </w:r>
      <w:r w:rsidRPr="004F70E1">
        <w:rPr>
          <w:lang w:val="pt-BR"/>
        </w:rPr>
        <w:t xml:space="preserve">. Los propietarios de propiedades pueden presentar una objeción escrita a las tarifas </w:t>
      </w:r>
      <w:r w:rsidR="00D83768">
        <w:rPr>
          <w:lang w:val="pt-BR"/>
        </w:rPr>
        <w:t xml:space="preserve">municipales propuestas que especifique los motivos de presunto incumplimiento con la </w:t>
      </w:r>
      <w:r w:rsidRPr="004F70E1">
        <w:rPr>
          <w:lang w:val="pt-BR"/>
        </w:rPr>
        <w:t xml:space="preserve">Proposición 218. Las </w:t>
      </w:r>
      <w:r w:rsidR="00CD008D">
        <w:rPr>
          <w:lang w:val="pt-BR"/>
        </w:rPr>
        <w:t>o</w:t>
      </w:r>
      <w:r w:rsidRPr="004F70E1">
        <w:rPr>
          <w:lang w:val="pt-BR"/>
        </w:rPr>
        <w:t xml:space="preserve">bjeciones </w:t>
      </w:r>
      <w:r>
        <w:rPr>
          <w:lang w:val="pt-BR"/>
        </w:rPr>
        <w:t xml:space="preserve">por </w:t>
      </w:r>
      <w:r w:rsidR="00CD008D">
        <w:rPr>
          <w:lang w:val="pt-BR"/>
        </w:rPr>
        <w:t>e</w:t>
      </w:r>
      <w:r w:rsidRPr="004F70E1">
        <w:rPr>
          <w:lang w:val="pt-BR"/>
        </w:rPr>
        <w:t>scrit</w:t>
      </w:r>
      <w:r>
        <w:rPr>
          <w:lang w:val="pt-BR"/>
        </w:rPr>
        <w:t>o</w:t>
      </w:r>
      <w:r w:rsidRPr="004F70E1">
        <w:rPr>
          <w:lang w:val="pt-BR"/>
        </w:rPr>
        <w:t xml:space="preserve"> deben estar claramente etiquetadas en el exterior de un sobre y contener el nombre completo del propietario de la propiedad e identificar la(s) parcela(s) por número(s) de parcela del tasador. Para considerarse </w:t>
      </w:r>
      <w:r>
        <w:rPr>
          <w:lang w:val="pt-BR"/>
        </w:rPr>
        <w:t>a tiempo</w:t>
      </w:r>
      <w:r w:rsidRPr="004F70E1">
        <w:rPr>
          <w:lang w:val="pt-BR"/>
        </w:rPr>
        <w:t xml:space="preserve">, las </w:t>
      </w:r>
      <w:r w:rsidR="00CD008D">
        <w:rPr>
          <w:lang w:val="pt-BR"/>
        </w:rPr>
        <w:t>o</w:t>
      </w:r>
      <w:r w:rsidRPr="004F70E1">
        <w:rPr>
          <w:lang w:val="pt-BR"/>
        </w:rPr>
        <w:t xml:space="preserve">bjeciones </w:t>
      </w:r>
      <w:r>
        <w:rPr>
          <w:lang w:val="pt-BR"/>
        </w:rPr>
        <w:t xml:space="preserve">por </w:t>
      </w:r>
      <w:r w:rsidR="00CD008D">
        <w:rPr>
          <w:lang w:val="pt-BR"/>
        </w:rPr>
        <w:t>e</w:t>
      </w:r>
      <w:r w:rsidRPr="004F70E1">
        <w:rPr>
          <w:lang w:val="pt-BR"/>
        </w:rPr>
        <w:t>scrit</w:t>
      </w:r>
      <w:r>
        <w:rPr>
          <w:lang w:val="pt-BR"/>
        </w:rPr>
        <w:t>o</w:t>
      </w:r>
      <w:r w:rsidRPr="004F70E1">
        <w:rPr>
          <w:lang w:val="pt-BR"/>
        </w:rPr>
        <w:t xml:space="preserve"> deben enviarse por correo al Secretario del Distrito de Tranquillity </w:t>
      </w:r>
      <w:r>
        <w:rPr>
          <w:lang w:val="pt-BR"/>
        </w:rPr>
        <w:t xml:space="preserve">Irrigation District </w:t>
      </w:r>
      <w:r w:rsidRPr="004F70E1">
        <w:rPr>
          <w:lang w:val="pt-BR"/>
        </w:rPr>
        <w:t xml:space="preserve">en P.O. Box 487, Tranquillity, California 93668 o entregarse en persona en 25390 W. Silveira Street, Tranquillity, California </w:t>
      </w:r>
      <w:r w:rsidRPr="001B4366">
        <w:rPr>
          <w:lang w:val="pt-BR"/>
        </w:rPr>
        <w:t xml:space="preserve">93668 durante el horario de atención del Distrito de 8:00 a.m. a </w:t>
      </w:r>
      <w:r w:rsidRPr="001B4366" w:rsidR="001B4366">
        <w:rPr>
          <w:lang w:val="pt-BR"/>
        </w:rPr>
        <w:t>3</w:t>
      </w:r>
      <w:r w:rsidRPr="001B4366">
        <w:rPr>
          <w:lang w:val="pt-BR"/>
        </w:rPr>
        <w:t>:</w:t>
      </w:r>
      <w:r w:rsidRPr="001B4366" w:rsidR="001B4366">
        <w:rPr>
          <w:lang w:val="pt-BR"/>
        </w:rPr>
        <w:t>3</w:t>
      </w:r>
      <w:r w:rsidRPr="001B4366">
        <w:rPr>
          <w:lang w:val="pt-BR"/>
        </w:rPr>
        <w:t xml:space="preserve">0 p.m., de lunes a viernes (excepto </w:t>
      </w:r>
      <w:r w:rsidRPr="001B4366" w:rsidR="00D83768">
        <w:rPr>
          <w:lang w:val="pt-BR"/>
        </w:rPr>
        <w:t>días</w:t>
      </w:r>
      <w:r w:rsidRPr="001B4366">
        <w:rPr>
          <w:lang w:val="pt-BR"/>
        </w:rPr>
        <w:t xml:space="preserve"> feriados).</w:t>
      </w:r>
      <w:r w:rsidRPr="004F70E1">
        <w:rPr>
          <w:lang w:val="pt-BR"/>
        </w:rPr>
        <w:t xml:space="preserve"> Las </w:t>
      </w:r>
      <w:r w:rsidR="00CD008D">
        <w:rPr>
          <w:lang w:val="pt-BR"/>
        </w:rPr>
        <w:t>o</w:t>
      </w:r>
      <w:r w:rsidRPr="004F70E1">
        <w:rPr>
          <w:lang w:val="pt-BR"/>
        </w:rPr>
        <w:t xml:space="preserve">bjeciones </w:t>
      </w:r>
      <w:r>
        <w:rPr>
          <w:lang w:val="pt-BR"/>
        </w:rPr>
        <w:t xml:space="preserve">por </w:t>
      </w:r>
      <w:r w:rsidR="00CD008D">
        <w:rPr>
          <w:lang w:val="pt-BR"/>
        </w:rPr>
        <w:t>e</w:t>
      </w:r>
      <w:r w:rsidRPr="004F70E1">
        <w:rPr>
          <w:lang w:val="pt-BR"/>
        </w:rPr>
        <w:t>scrit</w:t>
      </w:r>
      <w:r>
        <w:rPr>
          <w:lang w:val="pt-BR"/>
        </w:rPr>
        <w:t>o</w:t>
      </w:r>
      <w:r w:rsidRPr="004F70E1">
        <w:rPr>
          <w:lang w:val="pt-BR"/>
        </w:rPr>
        <w:t xml:space="preserve"> deben estar etiquetadas en el exterior del sobre y </w:t>
      </w:r>
      <w:r>
        <w:rPr>
          <w:lang w:val="pt-BR"/>
        </w:rPr>
        <w:t xml:space="preserve">ser recibidas </w:t>
      </w:r>
      <w:r w:rsidRPr="004F70E1">
        <w:rPr>
          <w:lang w:val="pt-BR"/>
        </w:rPr>
        <w:t xml:space="preserve">por el Distrito antes del </w:t>
      </w:r>
      <w:r w:rsidRPr="004F70E1">
        <w:rPr>
          <w:b/>
          <w:bCs/>
          <w:u w:val="single"/>
          <w:lang w:val="pt-BR"/>
        </w:rPr>
        <w:t xml:space="preserve">10 de </w:t>
      </w:r>
      <w:r w:rsidRPr="005A1CCE">
        <w:rPr>
          <w:b/>
          <w:bCs/>
          <w:u w:val="single"/>
          <w:lang w:val="pt-BR"/>
        </w:rPr>
        <w:t>D</w:t>
      </w:r>
      <w:r w:rsidRPr="004F70E1">
        <w:rPr>
          <w:b/>
          <w:bCs/>
          <w:u w:val="single"/>
          <w:lang w:val="pt-BR"/>
        </w:rPr>
        <w:t>iciembre de 2025</w:t>
      </w:r>
      <w:r w:rsidRPr="004F70E1">
        <w:rPr>
          <w:lang w:val="pt-BR"/>
        </w:rPr>
        <w:t xml:space="preserve"> para considerarse </w:t>
      </w:r>
      <w:r>
        <w:rPr>
          <w:lang w:val="pt-BR"/>
        </w:rPr>
        <w:t>a tiempo</w:t>
      </w:r>
      <w:r w:rsidRPr="004F70E1">
        <w:rPr>
          <w:lang w:val="pt-BR"/>
        </w:rPr>
        <w:t xml:space="preserve">. El incumplimiento de </w:t>
      </w:r>
      <w:r>
        <w:rPr>
          <w:lang w:val="pt-BR"/>
        </w:rPr>
        <w:t xml:space="preserve">no </w:t>
      </w:r>
      <w:r w:rsidRPr="004F70E1">
        <w:rPr>
          <w:lang w:val="pt-BR"/>
        </w:rPr>
        <w:t xml:space="preserve">presentar una </w:t>
      </w:r>
      <w:r w:rsidR="00CD008D">
        <w:rPr>
          <w:lang w:val="pt-BR"/>
        </w:rPr>
        <w:t>o</w:t>
      </w:r>
      <w:r w:rsidRPr="004F70E1">
        <w:rPr>
          <w:lang w:val="pt-BR"/>
        </w:rPr>
        <w:t xml:space="preserve">bjeción por </w:t>
      </w:r>
      <w:r w:rsidR="00CD008D">
        <w:rPr>
          <w:lang w:val="pt-BR"/>
        </w:rPr>
        <w:t>e</w:t>
      </w:r>
      <w:r w:rsidRPr="004F70E1">
        <w:rPr>
          <w:lang w:val="pt-BR"/>
        </w:rPr>
        <w:t xml:space="preserve">scrito </w:t>
      </w:r>
      <w:r>
        <w:rPr>
          <w:lang w:val="pt-BR"/>
        </w:rPr>
        <w:t>a tiempo</w:t>
      </w:r>
      <w:r w:rsidRPr="004F70E1">
        <w:rPr>
          <w:lang w:val="pt-BR"/>
        </w:rPr>
        <w:t xml:space="preserve"> impide cualquier derecho a impugnar las tarifas </w:t>
      </w:r>
      <w:r w:rsidR="00D83768">
        <w:rPr>
          <w:lang w:val="pt-BR"/>
        </w:rPr>
        <w:t>municipales</w:t>
      </w:r>
      <w:r w:rsidRPr="004F70E1">
        <w:rPr>
          <w:lang w:val="pt-BR"/>
        </w:rPr>
        <w:t xml:space="preserve"> propuestas mediante un procedimiento legal. Una vez presentadas al Distrito, las </w:t>
      </w:r>
      <w:r w:rsidR="00CD008D">
        <w:rPr>
          <w:lang w:val="pt-BR"/>
        </w:rPr>
        <w:t>o</w:t>
      </w:r>
      <w:r w:rsidRPr="004F70E1">
        <w:rPr>
          <w:lang w:val="pt-BR"/>
        </w:rPr>
        <w:t xml:space="preserve">bjeciones </w:t>
      </w:r>
      <w:r>
        <w:rPr>
          <w:lang w:val="pt-BR"/>
        </w:rPr>
        <w:t xml:space="preserve">por </w:t>
      </w:r>
      <w:r w:rsidR="00CD008D">
        <w:rPr>
          <w:lang w:val="pt-BR"/>
        </w:rPr>
        <w:t>e</w:t>
      </w:r>
      <w:r w:rsidRPr="004F70E1">
        <w:rPr>
          <w:lang w:val="pt-BR"/>
        </w:rPr>
        <w:t>scrit</w:t>
      </w:r>
      <w:r>
        <w:rPr>
          <w:lang w:val="pt-BR"/>
        </w:rPr>
        <w:t>o</w:t>
      </w:r>
      <w:r w:rsidRPr="004F70E1">
        <w:rPr>
          <w:lang w:val="pt-BR"/>
        </w:rPr>
        <w:t xml:space="preserve"> se convierten en registro público.</w:t>
      </w:r>
    </w:p>
    <w:p w:rsidR="00A85275" w:rsidP="00A85275" w14:paraId="50B1DD1B" w14:textId="77777777">
      <w:pPr>
        <w:pStyle w:val="Normal0"/>
        <w:rPr>
          <w:lang w:val="pt-BR"/>
        </w:rPr>
      </w:pPr>
    </w:p>
    <w:p w:rsidR="00A85275" w:rsidP="00A85275" w14:paraId="527C26EE" w14:textId="202DCBF2">
      <w:pPr>
        <w:pStyle w:val="Normal0"/>
        <w:rPr>
          <w:lang w:val="pt-BR"/>
        </w:rPr>
      </w:pPr>
      <w:r w:rsidRPr="005A1CCE">
        <w:rPr>
          <w:lang w:val="pt-BR"/>
        </w:rPr>
        <w:t>El personal</w:t>
      </w:r>
      <w:r>
        <w:rPr>
          <w:lang w:val="pt-BR"/>
        </w:rPr>
        <w:t xml:space="preserve"> del Distrito</w:t>
      </w:r>
      <w:r w:rsidRPr="005A1CCE">
        <w:rPr>
          <w:lang w:val="pt-BR"/>
        </w:rPr>
        <w:t xml:space="preserve"> revisará cualquier </w:t>
      </w:r>
      <w:r w:rsidR="00CD008D">
        <w:rPr>
          <w:lang w:val="pt-BR"/>
        </w:rPr>
        <w:t>o</w:t>
      </w:r>
      <w:r w:rsidRPr="005A1CCE">
        <w:rPr>
          <w:lang w:val="pt-BR"/>
        </w:rPr>
        <w:t xml:space="preserve">bjeción </w:t>
      </w:r>
      <w:r>
        <w:rPr>
          <w:lang w:val="pt-BR"/>
        </w:rPr>
        <w:t xml:space="preserve">por </w:t>
      </w:r>
      <w:r w:rsidR="00CD008D">
        <w:rPr>
          <w:lang w:val="pt-BR"/>
        </w:rPr>
        <w:t>e</w:t>
      </w:r>
      <w:r w:rsidRPr="005A1CCE">
        <w:rPr>
          <w:lang w:val="pt-BR"/>
        </w:rPr>
        <w:t>scrit</w:t>
      </w:r>
      <w:r>
        <w:rPr>
          <w:lang w:val="pt-BR"/>
        </w:rPr>
        <w:t>o</w:t>
      </w:r>
      <w:r w:rsidRPr="005A1CCE">
        <w:rPr>
          <w:lang w:val="pt-BR"/>
        </w:rPr>
        <w:t xml:space="preserve"> presentada </w:t>
      </w:r>
      <w:r>
        <w:rPr>
          <w:lang w:val="pt-BR"/>
        </w:rPr>
        <w:t>a tiempo</w:t>
      </w:r>
      <w:r w:rsidRPr="005A1CCE">
        <w:rPr>
          <w:lang w:val="pt-BR"/>
        </w:rPr>
        <w:t>, preparará respuestas</w:t>
      </w:r>
      <w:r>
        <w:rPr>
          <w:lang w:val="pt-BR"/>
        </w:rPr>
        <w:t xml:space="preserve"> por</w:t>
      </w:r>
      <w:r w:rsidRPr="005A1CCE">
        <w:rPr>
          <w:lang w:val="pt-BR"/>
        </w:rPr>
        <w:t xml:space="preserve"> </w:t>
      </w:r>
      <w:r>
        <w:rPr>
          <w:lang w:val="pt-BR"/>
        </w:rPr>
        <w:t xml:space="preserve">escrito </w:t>
      </w:r>
      <w:r w:rsidRPr="005A1CCE">
        <w:rPr>
          <w:lang w:val="pt-BR"/>
        </w:rPr>
        <w:t xml:space="preserve">y presentará cualquier </w:t>
      </w:r>
      <w:r w:rsidR="00CD008D">
        <w:rPr>
          <w:lang w:val="pt-BR"/>
        </w:rPr>
        <w:t>o</w:t>
      </w:r>
      <w:r w:rsidRPr="005A1CCE">
        <w:rPr>
          <w:lang w:val="pt-BR"/>
        </w:rPr>
        <w:t xml:space="preserve">bjeción </w:t>
      </w:r>
      <w:r>
        <w:rPr>
          <w:lang w:val="pt-BR"/>
        </w:rPr>
        <w:t xml:space="preserve">por </w:t>
      </w:r>
      <w:r w:rsidR="00CD008D">
        <w:rPr>
          <w:lang w:val="pt-BR"/>
        </w:rPr>
        <w:t>e</w:t>
      </w:r>
      <w:r w:rsidRPr="005A1CCE">
        <w:rPr>
          <w:lang w:val="pt-BR"/>
        </w:rPr>
        <w:t>scrit</w:t>
      </w:r>
      <w:r>
        <w:rPr>
          <w:lang w:val="pt-BR"/>
        </w:rPr>
        <w:t>o</w:t>
      </w:r>
      <w:r w:rsidRPr="005A1CCE">
        <w:rPr>
          <w:lang w:val="pt-BR"/>
        </w:rPr>
        <w:t xml:space="preserve"> recibida </w:t>
      </w:r>
      <w:r>
        <w:rPr>
          <w:lang w:val="pt-BR"/>
        </w:rPr>
        <w:t xml:space="preserve">a tiempo </w:t>
      </w:r>
      <w:r w:rsidRPr="005A1CCE">
        <w:rPr>
          <w:lang w:val="pt-BR"/>
        </w:rPr>
        <w:t xml:space="preserve">y las respuestas escritas a la Junta Directiva del Distrito antes del cierre de la audiencia pública descrita en el presente, que </w:t>
      </w:r>
      <w:r>
        <w:rPr>
          <w:lang w:val="pt-BR"/>
        </w:rPr>
        <w:t xml:space="preserve">se llevará a cabo </w:t>
      </w:r>
      <w:r w:rsidRPr="005A1CCE">
        <w:rPr>
          <w:lang w:val="pt-BR"/>
        </w:rPr>
        <w:t xml:space="preserve">el 17 de </w:t>
      </w:r>
      <w:r>
        <w:rPr>
          <w:lang w:val="pt-BR"/>
        </w:rPr>
        <w:t>D</w:t>
      </w:r>
      <w:r w:rsidRPr="005A1CCE">
        <w:rPr>
          <w:lang w:val="pt-BR"/>
        </w:rPr>
        <w:t xml:space="preserve">iciembre de 2025. La </w:t>
      </w:r>
      <w:r>
        <w:rPr>
          <w:lang w:val="pt-BR"/>
        </w:rPr>
        <w:t xml:space="preserve">justification por </w:t>
      </w:r>
      <w:r w:rsidRPr="005A1CCE">
        <w:rPr>
          <w:lang w:val="pt-BR"/>
        </w:rPr>
        <w:t>escrit</w:t>
      </w:r>
      <w:r>
        <w:rPr>
          <w:lang w:val="pt-BR"/>
        </w:rPr>
        <w:t>o</w:t>
      </w:r>
      <w:r w:rsidRPr="005A1CCE">
        <w:rPr>
          <w:lang w:val="pt-BR"/>
        </w:rPr>
        <w:t xml:space="preserve"> para la tarifa </w:t>
      </w:r>
      <w:r w:rsidR="00D83768">
        <w:rPr>
          <w:lang w:val="pt-BR"/>
        </w:rPr>
        <w:t xml:space="preserve">municipal </w:t>
      </w:r>
      <w:r w:rsidRPr="005A1CCE">
        <w:rPr>
          <w:lang w:val="pt-BR"/>
        </w:rPr>
        <w:t xml:space="preserve">propuesta por el Distrito se puede encontrar en línea en: </w:t>
      </w:r>
      <w:r w:rsidRPr="003C4CF7">
        <w:rPr>
          <w:lang w:val="pt-BR"/>
        </w:rPr>
        <w:t>http://trqid.com/wp/reports/</w:t>
      </w:r>
      <w:r w:rsidRPr="005A1CCE">
        <w:rPr>
          <w:lang w:val="pt-BR"/>
        </w:rPr>
        <w:t>.</w:t>
      </w:r>
    </w:p>
    <w:p w:rsidR="00A85275" w:rsidP="00A85275" w14:paraId="7FEE554B" w14:textId="77777777">
      <w:pPr>
        <w:pStyle w:val="Normal0"/>
        <w:rPr>
          <w:lang w:val="pt-BR"/>
        </w:rPr>
      </w:pPr>
    </w:p>
    <w:p w:rsidR="00A85275" w:rsidRPr="003C4CF7" w:rsidP="00A85275" w14:paraId="754B2078" w14:textId="77777777">
      <w:pPr>
        <w:pStyle w:val="Normal0"/>
        <w:rPr>
          <w:b/>
          <w:bCs/>
          <w:i/>
          <w:iCs/>
          <w:lang w:val="pt-BR"/>
        </w:rPr>
      </w:pPr>
      <w:r w:rsidRPr="003C4CF7">
        <w:rPr>
          <w:b/>
          <w:bCs/>
          <w:i/>
          <w:iCs/>
          <w:lang w:val="pt-BR"/>
        </w:rPr>
        <w:t>Proceso de Protesta Mayoritaria</w:t>
      </w:r>
    </w:p>
    <w:p w:rsidR="00A85275" w:rsidP="00A85275" w14:paraId="5E29901B" w14:textId="023C1C38">
      <w:pPr>
        <w:pStyle w:val="Normal0"/>
        <w:rPr>
          <w:lang w:val="pt-BR"/>
        </w:rPr>
      </w:pPr>
      <w:r w:rsidRPr="003C4CF7">
        <w:rPr>
          <w:lang w:val="pt-BR"/>
        </w:rPr>
        <w:t xml:space="preserve">De conformidad con la Proposición 218, cualquier propietario de propiedad puede presentar una </w:t>
      </w:r>
      <w:r w:rsidR="00CD008D">
        <w:rPr>
          <w:lang w:val="pt-BR"/>
        </w:rPr>
        <w:t>p</w:t>
      </w:r>
      <w:r w:rsidRPr="003C4CF7">
        <w:rPr>
          <w:lang w:val="pt-BR"/>
        </w:rPr>
        <w:t>rotesta</w:t>
      </w:r>
      <w:r>
        <w:rPr>
          <w:lang w:val="pt-BR"/>
        </w:rPr>
        <w:t xml:space="preserve"> por</w:t>
      </w:r>
      <w:r w:rsidRPr="003C4CF7">
        <w:rPr>
          <w:lang w:val="pt-BR"/>
        </w:rPr>
        <w:t xml:space="preserve"> </w:t>
      </w:r>
      <w:r w:rsidR="00CD008D">
        <w:rPr>
          <w:lang w:val="pt-BR"/>
        </w:rPr>
        <w:t>e</w:t>
      </w:r>
      <w:r w:rsidRPr="003C4CF7">
        <w:rPr>
          <w:lang w:val="pt-BR"/>
        </w:rPr>
        <w:t>scrit</w:t>
      </w:r>
      <w:r>
        <w:rPr>
          <w:lang w:val="pt-BR"/>
        </w:rPr>
        <w:t>o</w:t>
      </w:r>
      <w:r w:rsidRPr="003C4CF7">
        <w:rPr>
          <w:lang w:val="pt-BR"/>
        </w:rPr>
        <w:t xml:space="preserve"> contra las tarifas</w:t>
      </w:r>
      <w:r w:rsidR="00B808CF">
        <w:rPr>
          <w:lang w:val="pt-BR"/>
        </w:rPr>
        <w:t xml:space="preserve"> municipales</w:t>
      </w:r>
      <w:r w:rsidRPr="003C4CF7">
        <w:rPr>
          <w:lang w:val="pt-BR"/>
        </w:rPr>
        <w:t xml:space="preserve"> propuestas, que es separada y distinta del proceso de </w:t>
      </w:r>
      <w:r w:rsidR="00CD008D">
        <w:rPr>
          <w:lang w:val="pt-BR"/>
        </w:rPr>
        <w:t>o</w:t>
      </w:r>
      <w:r w:rsidRPr="003C4CF7">
        <w:rPr>
          <w:lang w:val="pt-BR"/>
        </w:rPr>
        <w:t xml:space="preserve">bjeción </w:t>
      </w:r>
      <w:r>
        <w:rPr>
          <w:lang w:val="pt-BR"/>
        </w:rPr>
        <w:t xml:space="preserve">por </w:t>
      </w:r>
      <w:r w:rsidR="00CD008D">
        <w:rPr>
          <w:lang w:val="pt-BR"/>
        </w:rPr>
        <w:t>e</w:t>
      </w:r>
      <w:r w:rsidRPr="003C4CF7">
        <w:rPr>
          <w:lang w:val="pt-BR"/>
        </w:rPr>
        <w:t>scrit</w:t>
      </w:r>
      <w:r>
        <w:rPr>
          <w:lang w:val="pt-BR"/>
        </w:rPr>
        <w:t>o</w:t>
      </w:r>
      <w:r w:rsidRPr="003C4CF7">
        <w:rPr>
          <w:lang w:val="pt-BR"/>
        </w:rPr>
        <w:t xml:space="preserve"> descrito anteriormente. Una </w:t>
      </w:r>
      <w:r w:rsidR="00CD008D">
        <w:rPr>
          <w:lang w:val="pt-BR"/>
        </w:rPr>
        <w:t>p</w:t>
      </w:r>
      <w:r w:rsidRPr="003C4CF7">
        <w:rPr>
          <w:lang w:val="pt-BR"/>
        </w:rPr>
        <w:t xml:space="preserve">rotesta por </w:t>
      </w:r>
      <w:r w:rsidR="00CD008D">
        <w:rPr>
          <w:lang w:val="pt-BR"/>
        </w:rPr>
        <w:t>e</w:t>
      </w:r>
      <w:r w:rsidRPr="003C4CF7">
        <w:rPr>
          <w:lang w:val="pt-BR"/>
        </w:rPr>
        <w:t xml:space="preserve">scrito no puede combinarse con una </w:t>
      </w:r>
      <w:r w:rsidR="00CD008D">
        <w:rPr>
          <w:lang w:val="pt-BR"/>
        </w:rPr>
        <w:t>o</w:t>
      </w:r>
      <w:r w:rsidRPr="003C4CF7">
        <w:rPr>
          <w:lang w:val="pt-BR"/>
        </w:rPr>
        <w:t xml:space="preserve">bjeción por </w:t>
      </w:r>
      <w:r w:rsidR="00CD008D">
        <w:rPr>
          <w:lang w:val="pt-BR"/>
        </w:rPr>
        <w:t>e</w:t>
      </w:r>
      <w:r w:rsidRPr="003C4CF7">
        <w:rPr>
          <w:lang w:val="pt-BR"/>
        </w:rPr>
        <w:t>scrit</w:t>
      </w:r>
      <w:r>
        <w:rPr>
          <w:lang w:val="pt-BR"/>
        </w:rPr>
        <w:t>o</w:t>
      </w:r>
      <w:r w:rsidRPr="003C4CF7">
        <w:rPr>
          <w:lang w:val="pt-BR"/>
        </w:rPr>
        <w:t xml:space="preserve"> y debe presentarse por separado, si se desea. Solo se contará una </w:t>
      </w:r>
      <w:r w:rsidR="00CD008D">
        <w:rPr>
          <w:lang w:val="pt-BR"/>
        </w:rPr>
        <w:t>p</w:t>
      </w:r>
      <w:r w:rsidRPr="003C4CF7">
        <w:rPr>
          <w:lang w:val="pt-BR"/>
        </w:rPr>
        <w:t xml:space="preserve">rotesta por parcela identificada. Cualquier </w:t>
      </w:r>
      <w:r w:rsidR="00CD008D">
        <w:rPr>
          <w:lang w:val="pt-BR"/>
        </w:rPr>
        <w:t>p</w:t>
      </w:r>
      <w:r w:rsidRPr="003C4CF7">
        <w:rPr>
          <w:lang w:val="pt-BR"/>
        </w:rPr>
        <w:t xml:space="preserve">rotesta </w:t>
      </w:r>
      <w:r>
        <w:rPr>
          <w:lang w:val="pt-BR"/>
        </w:rPr>
        <w:t xml:space="preserve">por </w:t>
      </w:r>
      <w:r w:rsidR="00CD008D">
        <w:rPr>
          <w:lang w:val="pt-BR"/>
        </w:rPr>
        <w:t>e</w:t>
      </w:r>
      <w:r w:rsidRPr="003C4CF7">
        <w:rPr>
          <w:lang w:val="pt-BR"/>
        </w:rPr>
        <w:t>scrit</w:t>
      </w:r>
      <w:r>
        <w:rPr>
          <w:lang w:val="pt-BR"/>
        </w:rPr>
        <w:t>o</w:t>
      </w:r>
      <w:r w:rsidRPr="003C4CF7">
        <w:rPr>
          <w:lang w:val="pt-BR"/>
        </w:rPr>
        <w:t xml:space="preserve"> debe: 1) declarar que el propietario de la propiedad identificada se opone a los aumentos propuestos en las tarifas de agua; 2) proporcionar la ubicación de la parcela identificada (por número de parcela del tasador o dirección callejera); y 3) incluir el nombre y la firma del propietario de la propiedad que presenta la protesta. Una vez </w:t>
      </w:r>
      <w:r>
        <w:rPr>
          <w:lang w:val="pt-BR"/>
        </w:rPr>
        <w:t>presentadas</w:t>
      </w:r>
      <w:r w:rsidRPr="003C4CF7">
        <w:rPr>
          <w:lang w:val="pt-BR"/>
        </w:rPr>
        <w:t xml:space="preserve"> al Distrito, las </w:t>
      </w:r>
      <w:r w:rsidR="00CD008D">
        <w:rPr>
          <w:lang w:val="pt-BR"/>
        </w:rPr>
        <w:t>p</w:t>
      </w:r>
      <w:r w:rsidRPr="003C4CF7">
        <w:rPr>
          <w:lang w:val="pt-BR"/>
        </w:rPr>
        <w:t>rotestas se convierten en registro público.</w:t>
      </w:r>
    </w:p>
    <w:p w:rsidR="00A85275" w:rsidP="00A85275" w14:paraId="7B8A4707" w14:textId="77777777">
      <w:pPr>
        <w:pStyle w:val="Normal0"/>
        <w:rPr>
          <w:lang w:val="pt-BR"/>
        </w:rPr>
      </w:pPr>
    </w:p>
    <w:p w:rsidR="00A85275" w:rsidP="00A85275" w14:paraId="02D3D4FA" w14:textId="7FD31E10">
      <w:pPr>
        <w:pStyle w:val="Normal0"/>
        <w:rPr>
          <w:lang w:val="pt-BR"/>
        </w:rPr>
      </w:pPr>
      <w:r w:rsidRPr="003C4CF7">
        <w:rPr>
          <w:lang w:val="pt-BR"/>
        </w:rPr>
        <w:t xml:space="preserve">Las </w:t>
      </w:r>
      <w:r w:rsidR="00CD008D">
        <w:rPr>
          <w:lang w:val="pt-BR"/>
        </w:rPr>
        <w:t>p</w:t>
      </w:r>
      <w:r w:rsidRPr="003C4CF7">
        <w:rPr>
          <w:lang w:val="pt-BR"/>
        </w:rPr>
        <w:t>rotestas</w:t>
      </w:r>
      <w:r>
        <w:rPr>
          <w:lang w:val="pt-BR"/>
        </w:rPr>
        <w:t xml:space="preserve"> por</w:t>
      </w:r>
      <w:r w:rsidRPr="003C4CF7">
        <w:rPr>
          <w:lang w:val="pt-BR"/>
        </w:rPr>
        <w:t xml:space="preserve"> </w:t>
      </w:r>
      <w:r w:rsidR="00CD008D">
        <w:rPr>
          <w:lang w:val="pt-BR"/>
        </w:rPr>
        <w:t>e</w:t>
      </w:r>
      <w:r w:rsidRPr="003C4CF7">
        <w:rPr>
          <w:lang w:val="pt-BR"/>
        </w:rPr>
        <w:t>scrit</w:t>
      </w:r>
      <w:r>
        <w:rPr>
          <w:lang w:val="pt-BR"/>
        </w:rPr>
        <w:t>o</w:t>
      </w:r>
      <w:r w:rsidRPr="003C4CF7">
        <w:rPr>
          <w:lang w:val="pt-BR"/>
        </w:rPr>
        <w:t xml:space="preserve"> pueden enviarse por correo </w:t>
      </w:r>
      <w:r w:rsidRPr="004F70E1">
        <w:rPr>
          <w:lang w:val="pt-BR"/>
        </w:rPr>
        <w:t xml:space="preserve">al Secretario del Distrito de Tranquillity </w:t>
      </w:r>
      <w:r>
        <w:rPr>
          <w:lang w:val="pt-BR"/>
        </w:rPr>
        <w:t xml:space="preserve">Irrigation District </w:t>
      </w:r>
      <w:r w:rsidRPr="004F70E1">
        <w:rPr>
          <w:lang w:val="pt-BR"/>
        </w:rPr>
        <w:t xml:space="preserve">en P.O. Box 487, Tranquillity, California 93668 o entregarse en persona en 25390 W. Silveira Street, Tranquillity, California </w:t>
      </w:r>
      <w:r w:rsidRPr="001B4366">
        <w:rPr>
          <w:lang w:val="pt-BR"/>
        </w:rPr>
        <w:t xml:space="preserve">93668 durante el horario de atención del Distrito de 8:00 a.m. a </w:t>
      </w:r>
      <w:r w:rsidRPr="001B4366" w:rsidR="001B4366">
        <w:rPr>
          <w:lang w:val="pt-BR"/>
        </w:rPr>
        <w:t>3</w:t>
      </w:r>
      <w:r w:rsidRPr="001B4366">
        <w:rPr>
          <w:lang w:val="pt-BR"/>
        </w:rPr>
        <w:t>:</w:t>
      </w:r>
      <w:r w:rsidRPr="001B4366" w:rsidR="001B4366">
        <w:rPr>
          <w:lang w:val="pt-BR"/>
        </w:rPr>
        <w:t>3</w:t>
      </w:r>
      <w:r w:rsidRPr="001B4366">
        <w:rPr>
          <w:lang w:val="pt-BR"/>
        </w:rPr>
        <w:t>0 p.m., de lunes a viernes (excepto dias feriados).</w:t>
      </w:r>
      <w:r w:rsidRPr="004F70E1">
        <w:rPr>
          <w:lang w:val="pt-BR"/>
        </w:rPr>
        <w:t xml:space="preserve"> </w:t>
      </w:r>
      <w:r w:rsidRPr="003C4CF7">
        <w:rPr>
          <w:lang w:val="pt-BR"/>
        </w:rPr>
        <w:t xml:space="preserve">Independientemente de la forma en que se presente la </w:t>
      </w:r>
      <w:r w:rsidR="00CD008D">
        <w:rPr>
          <w:lang w:val="pt-BR"/>
        </w:rPr>
        <w:t>p</w:t>
      </w:r>
      <w:r w:rsidRPr="003C4CF7">
        <w:rPr>
          <w:lang w:val="pt-BR"/>
        </w:rPr>
        <w:t xml:space="preserve">rotesta </w:t>
      </w:r>
      <w:r>
        <w:rPr>
          <w:lang w:val="pt-BR"/>
        </w:rPr>
        <w:t xml:space="preserve">por </w:t>
      </w:r>
      <w:r w:rsidR="00CD008D">
        <w:rPr>
          <w:lang w:val="pt-BR"/>
        </w:rPr>
        <w:t>e</w:t>
      </w:r>
      <w:r w:rsidRPr="003C4CF7">
        <w:rPr>
          <w:lang w:val="pt-BR"/>
        </w:rPr>
        <w:t>scrit</w:t>
      </w:r>
      <w:r>
        <w:rPr>
          <w:lang w:val="pt-BR"/>
        </w:rPr>
        <w:t>o</w:t>
      </w:r>
      <w:r w:rsidRPr="003C4CF7">
        <w:rPr>
          <w:lang w:val="pt-BR"/>
        </w:rPr>
        <w:t xml:space="preserve">, debe </w:t>
      </w:r>
      <w:r>
        <w:rPr>
          <w:lang w:val="pt-BR"/>
        </w:rPr>
        <w:t xml:space="preserve">ser </w:t>
      </w:r>
      <w:r w:rsidRPr="003C4CF7">
        <w:rPr>
          <w:lang w:val="pt-BR"/>
        </w:rPr>
        <w:t>recib</w:t>
      </w:r>
      <w:r>
        <w:rPr>
          <w:lang w:val="pt-BR"/>
        </w:rPr>
        <w:t>ida</w:t>
      </w:r>
      <w:r w:rsidRPr="003C4CF7">
        <w:rPr>
          <w:lang w:val="pt-BR"/>
        </w:rPr>
        <w:t xml:space="preserve"> por el Distrito antes de la conclusión de la sección de comentarios públicos </w:t>
      </w:r>
      <w:r>
        <w:rPr>
          <w:lang w:val="pt-BR"/>
        </w:rPr>
        <w:t>dur</w:t>
      </w:r>
      <w:r w:rsidR="00B808CF">
        <w:rPr>
          <w:lang w:val="pt-BR"/>
        </w:rPr>
        <w:t>ante</w:t>
      </w:r>
      <w:r>
        <w:rPr>
          <w:lang w:val="pt-BR"/>
        </w:rPr>
        <w:t xml:space="preserve"> </w:t>
      </w:r>
      <w:r w:rsidR="00B808CF">
        <w:rPr>
          <w:lang w:val="pt-BR"/>
        </w:rPr>
        <w:t>la</w:t>
      </w:r>
      <w:r>
        <w:rPr>
          <w:lang w:val="pt-BR"/>
        </w:rPr>
        <w:t xml:space="preserve"> </w:t>
      </w:r>
      <w:r w:rsidRPr="003C4CF7">
        <w:rPr>
          <w:lang w:val="pt-BR"/>
        </w:rPr>
        <w:t xml:space="preserve">audiencia pública del 17 de </w:t>
      </w:r>
      <w:r>
        <w:rPr>
          <w:lang w:val="pt-BR"/>
        </w:rPr>
        <w:t>D</w:t>
      </w:r>
      <w:r w:rsidRPr="003C4CF7">
        <w:rPr>
          <w:lang w:val="pt-BR"/>
        </w:rPr>
        <w:t xml:space="preserve">iciembre de 2025 (no se aceptarán </w:t>
      </w:r>
      <w:r>
        <w:rPr>
          <w:lang w:val="pt-BR"/>
        </w:rPr>
        <w:t>cartas tarde</w:t>
      </w:r>
      <w:r w:rsidRPr="003C4CF7">
        <w:rPr>
          <w:lang w:val="pt-BR"/>
        </w:rPr>
        <w:t xml:space="preserve">). Las </w:t>
      </w:r>
      <w:r w:rsidR="00CD008D">
        <w:rPr>
          <w:lang w:val="pt-BR"/>
        </w:rPr>
        <w:t>p</w:t>
      </w:r>
      <w:r w:rsidRPr="003C4CF7">
        <w:rPr>
          <w:lang w:val="pt-BR"/>
        </w:rPr>
        <w:t xml:space="preserve">rotestas </w:t>
      </w:r>
      <w:r>
        <w:rPr>
          <w:lang w:val="pt-BR"/>
        </w:rPr>
        <w:t xml:space="preserve">por </w:t>
      </w:r>
      <w:r w:rsidR="00CD008D">
        <w:rPr>
          <w:lang w:val="pt-BR"/>
        </w:rPr>
        <w:t>e</w:t>
      </w:r>
      <w:r w:rsidRPr="003C4CF7">
        <w:rPr>
          <w:lang w:val="pt-BR"/>
        </w:rPr>
        <w:t>scrit</w:t>
      </w:r>
      <w:r>
        <w:rPr>
          <w:lang w:val="pt-BR"/>
        </w:rPr>
        <w:t>o</w:t>
      </w:r>
      <w:r w:rsidRPr="003C4CF7">
        <w:rPr>
          <w:lang w:val="pt-BR"/>
        </w:rPr>
        <w:t xml:space="preserve"> también pueden presentarse </w:t>
      </w:r>
      <w:r>
        <w:rPr>
          <w:lang w:val="pt-BR"/>
        </w:rPr>
        <w:t xml:space="preserve">durante </w:t>
      </w:r>
      <w:r w:rsidRPr="003C4CF7">
        <w:rPr>
          <w:lang w:val="pt-BR"/>
        </w:rPr>
        <w:t xml:space="preserve">la audiencia pública, siempre y cuando se reciban antes de la conclusión de la audiencia. Cualquier </w:t>
      </w:r>
      <w:r w:rsidR="00B808CF">
        <w:rPr>
          <w:lang w:val="pt-BR"/>
        </w:rPr>
        <w:t>p</w:t>
      </w:r>
      <w:r w:rsidRPr="003C4CF7">
        <w:rPr>
          <w:lang w:val="pt-BR"/>
        </w:rPr>
        <w:t xml:space="preserve">rotesta presentada por </w:t>
      </w:r>
      <w:r>
        <w:rPr>
          <w:lang w:val="pt-BR"/>
        </w:rPr>
        <w:t xml:space="preserve">medio de </w:t>
      </w:r>
      <w:r w:rsidRPr="003C4CF7">
        <w:rPr>
          <w:lang w:val="pt-BR"/>
        </w:rPr>
        <w:t xml:space="preserve">correo electrónico </w:t>
      </w:r>
      <w:r>
        <w:rPr>
          <w:lang w:val="pt-BR"/>
        </w:rPr>
        <w:t>o</w:t>
      </w:r>
      <w:r w:rsidRPr="003C4CF7">
        <w:rPr>
          <w:lang w:val="pt-BR"/>
        </w:rPr>
        <w:t xml:space="preserve"> otros medios electrónicos no será aceptada.</w:t>
      </w:r>
    </w:p>
    <w:p w:rsidR="00A85275" w:rsidP="00A85275" w14:paraId="139E30FF" w14:textId="63A0ACE7">
      <w:pPr>
        <w:pStyle w:val="Normal0"/>
        <w:rPr>
          <w:lang w:val="pt-BR"/>
        </w:rPr>
      </w:pPr>
    </w:p>
    <w:p w:rsidR="00A85275" w:rsidP="00A85275" w14:paraId="36CA66A1" w14:textId="0D5FD67A">
      <w:pPr>
        <w:pStyle w:val="Normal0"/>
        <w:rPr>
          <w:lang w:val="pt-BR"/>
        </w:rPr>
      </w:pPr>
      <w:r>
        <w:rPr>
          <w:b/>
          <w:bCs/>
          <w:i/>
          <w:iCs/>
          <w:lang w:val="pt-BR"/>
        </w:rPr>
        <w:t>P</w:t>
      </w:r>
      <w:r w:rsidRPr="00762E70">
        <w:rPr>
          <w:b/>
          <w:bCs/>
          <w:i/>
          <w:iCs/>
          <w:lang w:val="pt-BR"/>
        </w:rPr>
        <w:t xml:space="preserve">lazo de </w:t>
      </w:r>
      <w:r>
        <w:rPr>
          <w:b/>
          <w:bCs/>
          <w:i/>
          <w:iCs/>
          <w:lang w:val="pt-BR"/>
        </w:rPr>
        <w:t>P</w:t>
      </w:r>
      <w:r w:rsidRPr="00762E70">
        <w:rPr>
          <w:b/>
          <w:bCs/>
          <w:i/>
          <w:iCs/>
          <w:lang w:val="pt-BR"/>
        </w:rPr>
        <w:t>rescripción</w:t>
      </w:r>
    </w:p>
    <w:p w:rsidR="00A85275" w:rsidRPr="00762E70" w:rsidP="00A85275" w14:paraId="0DCFFD9E" w14:textId="2CEE9F9D">
      <w:pPr>
        <w:pStyle w:val="Normal0"/>
        <w:rPr>
          <w:lang w:val="pt-BR"/>
        </w:rPr>
      </w:pPr>
      <w:r w:rsidRPr="00762E70">
        <w:rPr>
          <w:lang w:val="pt-BR"/>
        </w:rPr>
        <w:t xml:space="preserve">De conformidad con la Sección 53759 del Código de Gobierno de California, existe un plazo de prescripción de 120 días para impugnar cualquier tarifa o cargo nuevo, aumentado o extendido. Este plazo de prescripción se aplica a las tarifas y cargos de agua </w:t>
      </w:r>
      <w:r w:rsidR="00B808CF">
        <w:rPr>
          <w:lang w:val="pt-BR"/>
        </w:rPr>
        <w:t xml:space="preserve">para uso municipal </w:t>
      </w:r>
      <w:r w:rsidRPr="00762E70">
        <w:rPr>
          <w:lang w:val="pt-BR"/>
        </w:rPr>
        <w:t>propuestos en este aviso.</w:t>
      </w:r>
    </w:p>
    <w:p w:rsidR="00A85275" w:rsidRPr="003C4CF7" w:rsidP="00A85275" w14:paraId="7F4142AD" w14:textId="0F3E1883">
      <w:pPr>
        <w:pStyle w:val="Normal0"/>
        <w:rPr>
          <w:lang w:val="pt-BR"/>
        </w:rPr>
      </w:pPr>
    </w:p>
    <w:p w:rsidR="00A85275" w:rsidRPr="003C4CF7" w:rsidP="00A85275" w14:paraId="05A7F477" w14:textId="28641B4A">
      <w:pPr>
        <w:pStyle w:val="Normal0"/>
        <w:rPr>
          <w:lang w:val="pt-BR"/>
        </w:rPr>
      </w:pPr>
      <w:r>
        <w:rPr>
          <w:rFonts w:eastAsia="Arial Unicode MS"/>
          <w:noProof/>
          <w:kern w:val="24"/>
        </w:rPr>
        <mc:AlternateContent>
          <mc:Choice Requires="wps">
            <w:drawing>
              <wp:anchor distT="0" distB="0" distL="114300" distR="114300" simplePos="0" relativeHeight="251658240" behindDoc="1" locked="0" layoutInCell="0" allowOverlap="1">
                <wp:simplePos x="0" y="0"/>
                <wp:positionH relativeFrom="page">
                  <wp:posOffset>393043</wp:posOffset>
                </wp:positionH>
                <wp:positionV relativeFrom="page">
                  <wp:posOffset>2893897</wp:posOffset>
                </wp:positionV>
                <wp:extent cx="7035800" cy="1016000"/>
                <wp:effectExtent l="0" t="0" r="12700" b="127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35800" cy="1016000"/>
                        </a:xfrm>
                        <a:prstGeom prst="rect">
                          <a:avLst/>
                        </a:prstGeom>
                        <a:solidFill>
                          <a:srgbClr val="BEBEBE"/>
                        </a:solidFill>
                        <a:ln w="8890">
                          <a:solidFill>
                            <a:srgbClr val="000000"/>
                          </a:solidFill>
                          <a:miter lim="800000"/>
                          <a:headEnd/>
                          <a:tailEnd/>
                        </a:ln>
                      </wps:spPr>
                      <wps:txbx>
                        <w:txbxContent>
                          <w:p w:rsidR="00A85275" w:rsidRPr="00762E70" w:rsidP="00A85275" w14:textId="7E910EF9">
                            <w:pPr>
                              <w:pStyle w:val="Normal0"/>
                              <w:jc w:val="center"/>
                              <w:rPr>
                                <w:b/>
                                <w:bCs/>
                                <w:lang w:val="pt-BR"/>
                              </w:rPr>
                            </w:pPr>
                            <w:r w:rsidRPr="00762E70">
                              <w:rPr>
                                <w:b/>
                                <w:bCs/>
                                <w:lang w:val="pt-BR"/>
                              </w:rPr>
                              <w:t xml:space="preserve">Aviso de Audiencia Pública sobre </w:t>
                            </w:r>
                            <w:r>
                              <w:rPr>
                                <w:b/>
                                <w:bCs/>
                                <w:lang w:val="pt-BR"/>
                              </w:rPr>
                              <w:t xml:space="preserve">el Aumento Propuesto a </w:t>
                            </w:r>
                            <w:r w:rsidRPr="00762E70">
                              <w:rPr>
                                <w:b/>
                                <w:bCs/>
                                <w:lang w:val="pt-BR"/>
                              </w:rPr>
                              <w:t xml:space="preserve">las Tarifas de Agua </w:t>
                            </w:r>
                            <w:r>
                              <w:rPr>
                                <w:b/>
                                <w:bCs/>
                                <w:lang w:val="pt-BR"/>
                              </w:rPr>
                              <w:t xml:space="preserve">Para Uso </w:t>
                            </w:r>
                            <w:r w:rsidR="00CA3625">
                              <w:rPr>
                                <w:b/>
                                <w:bCs/>
                                <w:lang w:val="pt-BR"/>
                              </w:rPr>
                              <w:t>Municipal</w:t>
                            </w:r>
                          </w:p>
                          <w:p w:rsidR="00A85275" w:rsidRPr="00762E70" w:rsidP="00A85275" w14:textId="00BEBA58">
                            <w:pPr>
                              <w:pStyle w:val="Normal0"/>
                              <w:rPr>
                                <w:lang w:val="pt-BR"/>
                              </w:rPr>
                            </w:pPr>
                            <w:r w:rsidRPr="00762E70">
                              <w:rPr>
                                <w:lang w:val="pt-BR"/>
                              </w:rPr>
                              <w:t xml:space="preserve">De conformidad con la Proposición 218, la Junta Directiva del </w:t>
                            </w:r>
                            <w:r>
                              <w:rPr>
                                <w:lang w:val="pt-BR"/>
                              </w:rPr>
                              <w:t>d</w:t>
                            </w:r>
                            <w:r w:rsidRPr="00762E70">
                              <w:rPr>
                                <w:lang w:val="pt-BR"/>
                              </w:rPr>
                              <w:t xml:space="preserve">istrito de </w:t>
                            </w:r>
                            <w:r>
                              <w:rPr>
                                <w:lang w:val="pt-BR"/>
                              </w:rPr>
                              <w:t>r</w:t>
                            </w:r>
                            <w:r w:rsidRPr="00762E70">
                              <w:rPr>
                                <w:lang w:val="pt-BR"/>
                              </w:rPr>
                              <w:t xml:space="preserve">iego Tranquillity </w:t>
                            </w:r>
                            <w:r>
                              <w:rPr>
                                <w:lang w:val="pt-BR"/>
                              </w:rPr>
                              <w:t xml:space="preserve">Irrigation District tendra </w:t>
                            </w:r>
                            <w:r w:rsidRPr="00762E70">
                              <w:rPr>
                                <w:lang w:val="pt-BR"/>
                              </w:rPr>
                              <w:t xml:space="preserve">una Audiencia Pública sobre las tarifas de agua </w:t>
                            </w:r>
                            <w:r w:rsidR="00CA3625">
                              <w:rPr>
                                <w:lang w:val="pt-BR"/>
                              </w:rPr>
                              <w:t xml:space="preserve">municipal </w:t>
                            </w:r>
                            <w:r w:rsidRPr="00762E70">
                              <w:rPr>
                                <w:lang w:val="pt-BR"/>
                              </w:rPr>
                              <w:t xml:space="preserve">propuestas el </w:t>
                            </w:r>
                            <w:r w:rsidRPr="00762E70">
                              <w:rPr>
                                <w:b/>
                                <w:bCs/>
                                <w:i/>
                                <w:iCs/>
                                <w:lang w:val="pt-BR"/>
                              </w:rPr>
                              <w:t>17 de Diciembre de 2025, comenzando a las 8:30 a.m</w:t>
                            </w:r>
                            <w:r w:rsidRPr="00762E70">
                              <w:rPr>
                                <w:b/>
                                <w:bCs/>
                                <w:lang w:val="pt-BR"/>
                              </w:rPr>
                              <w:t>.</w:t>
                            </w:r>
                            <w:r w:rsidRPr="00762E70">
                              <w:rPr>
                                <w:lang w:val="pt-BR"/>
                              </w:rPr>
                              <w:t xml:space="preserve">, en la oficina del </w:t>
                            </w:r>
                            <w:r>
                              <w:rPr>
                                <w:lang w:val="pt-BR"/>
                              </w:rPr>
                              <w:t>d</w:t>
                            </w:r>
                            <w:r w:rsidRPr="00762E70">
                              <w:rPr>
                                <w:lang w:val="pt-BR"/>
                              </w:rPr>
                              <w:t xml:space="preserve">istrito de </w:t>
                            </w:r>
                            <w:r>
                              <w:rPr>
                                <w:lang w:val="pt-BR"/>
                              </w:rPr>
                              <w:t>r</w:t>
                            </w:r>
                            <w:r w:rsidRPr="00762E70">
                              <w:rPr>
                                <w:lang w:val="pt-BR"/>
                              </w:rPr>
                              <w:t xml:space="preserve">iego </w:t>
                            </w:r>
                            <w:r>
                              <w:rPr>
                                <w:lang w:val="pt-BR"/>
                              </w:rPr>
                              <w:t xml:space="preserve">Tranquillity Irrigation District </w:t>
                            </w:r>
                            <w:r w:rsidRPr="00762E70">
                              <w:rPr>
                                <w:lang w:val="pt-BR"/>
                              </w:rPr>
                              <w:t>ubicada en 25390 W. Silveira Street, Tranquillity, California 93668.</w:t>
                            </w:r>
                          </w:p>
                        </w:txbxContent>
                      </wps:txbx>
                      <wps:bodyPr rot="0" vert="horz" wrap="square" lIns="36576" tIns="0" rIns="36576"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4pt;height:80pt;margin-top:227.85pt;margin-left: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color="#bebebe" strokeweight="0.7pt">
                <v:textbox inset="2.88pt,0,2.88pt,0">
                  <w:txbxContent>
                    <w:p w:rsidR="00A85275" w:rsidRPr="00762E70" w:rsidP="00A85275" w14:paraId="5154083B" w14:textId="7E910EF9">
                      <w:pPr>
                        <w:pStyle w:val="Normal0"/>
                        <w:jc w:val="center"/>
                        <w:rPr>
                          <w:b/>
                          <w:bCs/>
                          <w:lang w:val="pt-BR"/>
                        </w:rPr>
                      </w:pPr>
                      <w:r w:rsidRPr="00762E70">
                        <w:rPr>
                          <w:b/>
                          <w:bCs/>
                          <w:lang w:val="pt-BR"/>
                        </w:rPr>
                        <w:t xml:space="preserve">Aviso de Audiencia Pública sobre </w:t>
                      </w:r>
                      <w:r>
                        <w:rPr>
                          <w:b/>
                          <w:bCs/>
                          <w:lang w:val="pt-BR"/>
                        </w:rPr>
                        <w:t xml:space="preserve">el Aumento Propuesto a </w:t>
                      </w:r>
                      <w:r w:rsidRPr="00762E70">
                        <w:rPr>
                          <w:b/>
                          <w:bCs/>
                          <w:lang w:val="pt-BR"/>
                        </w:rPr>
                        <w:t xml:space="preserve">las Tarifas de Agua </w:t>
                      </w:r>
                      <w:r>
                        <w:rPr>
                          <w:b/>
                          <w:bCs/>
                          <w:lang w:val="pt-BR"/>
                        </w:rPr>
                        <w:t xml:space="preserve">Para Uso </w:t>
                      </w:r>
                      <w:r w:rsidR="00CA3625">
                        <w:rPr>
                          <w:b/>
                          <w:bCs/>
                          <w:lang w:val="pt-BR"/>
                        </w:rPr>
                        <w:t>Municipal</w:t>
                      </w:r>
                    </w:p>
                    <w:p w:rsidR="00A85275" w:rsidRPr="00762E70" w:rsidP="00A85275" w14:paraId="1FCCA14B" w14:textId="00BEBA58">
                      <w:pPr>
                        <w:pStyle w:val="Normal0"/>
                        <w:rPr>
                          <w:lang w:val="pt-BR"/>
                        </w:rPr>
                      </w:pPr>
                      <w:r w:rsidRPr="00762E70">
                        <w:rPr>
                          <w:lang w:val="pt-BR"/>
                        </w:rPr>
                        <w:t xml:space="preserve">De conformidad con la Proposición 218, la Junta Directiva del </w:t>
                      </w:r>
                      <w:r>
                        <w:rPr>
                          <w:lang w:val="pt-BR"/>
                        </w:rPr>
                        <w:t>d</w:t>
                      </w:r>
                      <w:r w:rsidRPr="00762E70">
                        <w:rPr>
                          <w:lang w:val="pt-BR"/>
                        </w:rPr>
                        <w:t xml:space="preserve">istrito de </w:t>
                      </w:r>
                      <w:r>
                        <w:rPr>
                          <w:lang w:val="pt-BR"/>
                        </w:rPr>
                        <w:t>r</w:t>
                      </w:r>
                      <w:r w:rsidRPr="00762E70">
                        <w:rPr>
                          <w:lang w:val="pt-BR"/>
                        </w:rPr>
                        <w:t xml:space="preserve">iego Tranquillity </w:t>
                      </w:r>
                      <w:r>
                        <w:rPr>
                          <w:lang w:val="pt-BR"/>
                        </w:rPr>
                        <w:t xml:space="preserve">Irrigation District tendra </w:t>
                      </w:r>
                      <w:r w:rsidRPr="00762E70">
                        <w:rPr>
                          <w:lang w:val="pt-BR"/>
                        </w:rPr>
                        <w:t xml:space="preserve">una Audiencia Pública sobre las tarifas de agua </w:t>
                      </w:r>
                      <w:r w:rsidR="00CA3625">
                        <w:rPr>
                          <w:lang w:val="pt-BR"/>
                        </w:rPr>
                        <w:t xml:space="preserve">municipal </w:t>
                      </w:r>
                      <w:r w:rsidRPr="00762E70">
                        <w:rPr>
                          <w:lang w:val="pt-BR"/>
                        </w:rPr>
                        <w:t xml:space="preserve">propuestas el </w:t>
                      </w:r>
                      <w:r w:rsidRPr="00762E70">
                        <w:rPr>
                          <w:b/>
                          <w:bCs/>
                          <w:i/>
                          <w:iCs/>
                          <w:lang w:val="pt-BR"/>
                        </w:rPr>
                        <w:t>17 de Diciembre de 2025, comenzando a las 8:30 a.m</w:t>
                      </w:r>
                      <w:r w:rsidRPr="00762E70">
                        <w:rPr>
                          <w:b/>
                          <w:bCs/>
                          <w:lang w:val="pt-BR"/>
                        </w:rPr>
                        <w:t>.</w:t>
                      </w:r>
                      <w:r w:rsidRPr="00762E70">
                        <w:rPr>
                          <w:lang w:val="pt-BR"/>
                        </w:rPr>
                        <w:t xml:space="preserve">, en la oficina del </w:t>
                      </w:r>
                      <w:r>
                        <w:rPr>
                          <w:lang w:val="pt-BR"/>
                        </w:rPr>
                        <w:t>d</w:t>
                      </w:r>
                      <w:r w:rsidRPr="00762E70">
                        <w:rPr>
                          <w:lang w:val="pt-BR"/>
                        </w:rPr>
                        <w:t xml:space="preserve">istrito de </w:t>
                      </w:r>
                      <w:r>
                        <w:rPr>
                          <w:lang w:val="pt-BR"/>
                        </w:rPr>
                        <w:t>r</w:t>
                      </w:r>
                      <w:r w:rsidRPr="00762E70">
                        <w:rPr>
                          <w:lang w:val="pt-BR"/>
                        </w:rPr>
                        <w:t xml:space="preserve">iego </w:t>
                      </w:r>
                      <w:r>
                        <w:rPr>
                          <w:lang w:val="pt-BR"/>
                        </w:rPr>
                        <w:t xml:space="preserve">Tranquillity Irrigation District </w:t>
                      </w:r>
                      <w:r w:rsidRPr="00762E70">
                        <w:rPr>
                          <w:lang w:val="pt-BR"/>
                        </w:rPr>
                        <w:t>ubicada en 25390 W. Silveira Street, Tranquillity, California 93668.</w:t>
                      </w:r>
                    </w:p>
                  </w:txbxContent>
                </v:textbox>
              </v:shape>
            </w:pict>
          </mc:Fallback>
        </mc:AlternateContent>
      </w:r>
    </w:p>
    <w:p w:rsidR="00A85275" w:rsidRPr="004F70E1" w:rsidP="00A85275" w14:paraId="175A3866" w14:textId="034926DA">
      <w:pPr>
        <w:pStyle w:val="Normal0"/>
        <w:rPr>
          <w:lang w:val="pt-BR"/>
        </w:rPr>
      </w:pPr>
    </w:p>
    <w:p w:rsidR="00A85275" w:rsidRPr="00053505" w:rsidP="00A85275" w14:paraId="7B32593F" w14:textId="77777777">
      <w:pPr>
        <w:pStyle w:val="Normal0"/>
        <w:rPr>
          <w:lang w:val="pt-BR"/>
        </w:rPr>
      </w:pPr>
    </w:p>
    <w:p w:rsidR="00A85275" w:rsidP="00A85275" w14:paraId="5596CEEE" w14:textId="77777777">
      <w:pPr>
        <w:pStyle w:val="Normal0"/>
        <w:rPr>
          <w:lang w:val="pt-BR"/>
        </w:rPr>
      </w:pPr>
    </w:p>
    <w:p w:rsidR="00A85275" w:rsidRPr="00252ED0" w:rsidP="00A85275" w14:paraId="158D62D8" w14:textId="77777777">
      <w:pPr>
        <w:pStyle w:val="Normal0"/>
        <w:rPr>
          <w:lang w:val="pt-BR"/>
        </w:rPr>
      </w:pPr>
    </w:p>
    <w:p w:rsidR="00A85275" w:rsidRPr="00762E70" w:rsidP="00A85275" w14:paraId="6C15BEE6" w14:textId="77777777">
      <w:pPr>
        <w:pStyle w:val="Normal0"/>
        <w:rPr>
          <w:lang w:val="pt-BR"/>
        </w:rPr>
      </w:pPr>
    </w:p>
    <w:p w:rsidR="00A85275" w:rsidRPr="00252ED0" w:rsidP="00A85275" w14:paraId="194973DF" w14:textId="77777777">
      <w:pPr>
        <w:pStyle w:val="Normal0"/>
        <w:rPr>
          <w:lang w:val="pt-BR"/>
        </w:rPr>
      </w:pPr>
    </w:p>
    <w:p w:rsidR="00FC3907" w:rsidRPr="00A85275" w:rsidP="00FC3907" w14:paraId="586A3168" w14:textId="77777777">
      <w:pPr>
        <w:pStyle w:val="Normal0"/>
        <w:rPr>
          <w:lang w:val="pt-B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2F7" w14:paraId="08D48F12" w14:textId="0042F0F0">
    <w:pPr>
      <w:pStyle w:val="Footer"/>
    </w:pPr>
    <w:r w:rsidRPr="000C32F7">
      <w:rPr>
        <w:noProof/>
        <w:spacing w:val="-2"/>
        <w:sz w:val="16"/>
      </w:rPr>
      <w:t>3803876v1 / 19493.0001</w:t>
    </w:r>
    <w:r w:rsidRPr="000C32F7">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5275" w:rsidRPr="00A85275" w:rsidP="00A85275" w14:paraId="0E52ACB5" w14:textId="77777777">
    <w:pPr>
      <w:jc w:val="center"/>
      <w:rPr>
        <w:b/>
        <w:bCs/>
        <w:sz w:val="28"/>
        <w:szCs w:val="28"/>
        <w:lang w:val="pt-BR"/>
      </w:rPr>
    </w:pPr>
    <w:r w:rsidRPr="00A85275">
      <w:rPr>
        <w:b/>
        <w:bCs/>
        <w:sz w:val="28"/>
        <w:szCs w:val="28"/>
        <w:lang w:val="pt-BR"/>
      </w:rPr>
      <w:t>TRANQUILLITY IRRIGATION DISTRICT</w:t>
    </w:r>
  </w:p>
  <w:p w:rsidR="00A85275" w:rsidRPr="00A85275" w:rsidP="00A85275" w14:paraId="14B865DC" w14:textId="77777777">
    <w:pPr>
      <w:jc w:val="center"/>
      <w:rPr>
        <w:b/>
        <w:bCs/>
        <w:sz w:val="28"/>
        <w:szCs w:val="28"/>
        <w:u w:val="single"/>
        <w:lang w:val="pt-BR"/>
      </w:rPr>
    </w:pPr>
  </w:p>
  <w:p w:rsidR="00A85275" w:rsidRPr="00252ED0" w:rsidP="00A85275" w14:paraId="0128750E" w14:textId="77777777">
    <w:pPr>
      <w:jc w:val="center"/>
      <w:rPr>
        <w:b/>
        <w:bCs/>
        <w:sz w:val="28"/>
        <w:szCs w:val="28"/>
        <w:u w:val="single"/>
        <w:lang w:val="pt-BR"/>
      </w:rPr>
    </w:pPr>
    <w:r w:rsidRPr="00252ED0">
      <w:rPr>
        <w:b/>
        <w:bCs/>
        <w:sz w:val="28"/>
        <w:szCs w:val="28"/>
        <w:u w:val="single"/>
        <w:lang w:val="pt-BR"/>
      </w:rPr>
      <w:t>AVISO DE AUDIENCIA PUBLICA</w:t>
    </w:r>
  </w:p>
  <w:p w:rsidR="00BE03B8" w:rsidRPr="00A85275" w:rsidP="00A85275" w14:paraId="4E4F00DD" w14:textId="59A84767">
    <w:pPr>
      <w:pStyle w:val="Header"/>
      <w:rPr>
        <w:lang w:val="pt-BR"/>
      </w:rPr>
    </w:pPr>
    <w:r w:rsidRPr="00252ED0">
      <w:rPr>
        <w:b/>
        <w:bCs/>
        <w:sz w:val="22"/>
        <w:lang w:val="pt-BR"/>
      </w:rPr>
      <w:t>SOBRE EL AUMENTO PROPUESTO A LAS TARIFAS DE AUGUA PARA US</w:t>
    </w:r>
    <w:r>
      <w:rPr>
        <w:b/>
        <w:bCs/>
        <w:sz w:val="22"/>
        <w:lang w:val="pt-BR"/>
      </w:rPr>
      <w:t>O</w:t>
    </w:r>
    <w:r w:rsidRPr="00252ED0">
      <w:rPr>
        <w:b/>
        <w:bCs/>
        <w:sz w:val="22"/>
        <w:lang w:val="pt-BR"/>
      </w:rPr>
      <w:t xml:space="preserve"> </w:t>
    </w:r>
    <w:r>
      <w:rPr>
        <w:b/>
        <w:bCs/>
        <w:sz w:val="22"/>
        <w:lang w:val="pt-BR"/>
      </w:rPr>
      <w:t>MUNICIPAL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37394403"/>
    <w:multiLevelType w:val="hybridMultilevel"/>
    <w:tmpl w:val="EA9C2A94"/>
    <w:lvl w:ilvl="0">
      <w:start w:val="1"/>
      <w:numFmt w:val="bullet"/>
      <w:lvlText w:val="•"/>
      <w:lvlJc w:val="left"/>
      <w:pPr>
        <w:tabs>
          <w:tab w:val="num" w:pos="720"/>
        </w:tabs>
        <w:ind w:left="720" w:hanging="72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lickAndTypeStyle w:val="Normal0"/>
  <w:characterSpacingControl w:val="doNotCompress"/>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75"/>
    <w:rsid w:val="000143A2"/>
    <w:rsid w:val="00017254"/>
    <w:rsid w:val="000264EC"/>
    <w:rsid w:val="00027050"/>
    <w:rsid w:val="000376CE"/>
    <w:rsid w:val="000379F7"/>
    <w:rsid w:val="00040913"/>
    <w:rsid w:val="000413A0"/>
    <w:rsid w:val="00053505"/>
    <w:rsid w:val="000577C7"/>
    <w:rsid w:val="00077E52"/>
    <w:rsid w:val="00083481"/>
    <w:rsid w:val="00095F9B"/>
    <w:rsid w:val="00096B9C"/>
    <w:rsid w:val="000A132A"/>
    <w:rsid w:val="000B092A"/>
    <w:rsid w:val="000C32F7"/>
    <w:rsid w:val="000F261A"/>
    <w:rsid w:val="000F30CA"/>
    <w:rsid w:val="000F710F"/>
    <w:rsid w:val="000F7910"/>
    <w:rsid w:val="00123136"/>
    <w:rsid w:val="00137065"/>
    <w:rsid w:val="001479B1"/>
    <w:rsid w:val="00151EC6"/>
    <w:rsid w:val="00156EA7"/>
    <w:rsid w:val="00174788"/>
    <w:rsid w:val="0018025F"/>
    <w:rsid w:val="001B4366"/>
    <w:rsid w:val="001C3978"/>
    <w:rsid w:val="0020733D"/>
    <w:rsid w:val="00211FB6"/>
    <w:rsid w:val="0021369D"/>
    <w:rsid w:val="00227610"/>
    <w:rsid w:val="00246025"/>
    <w:rsid w:val="00252ED0"/>
    <w:rsid w:val="00280B93"/>
    <w:rsid w:val="00282D21"/>
    <w:rsid w:val="002830F5"/>
    <w:rsid w:val="00284A5E"/>
    <w:rsid w:val="002A7657"/>
    <w:rsid w:val="002B0051"/>
    <w:rsid w:val="002D6031"/>
    <w:rsid w:val="002F7C67"/>
    <w:rsid w:val="00305489"/>
    <w:rsid w:val="00306B03"/>
    <w:rsid w:val="00311088"/>
    <w:rsid w:val="0031600D"/>
    <w:rsid w:val="003233D7"/>
    <w:rsid w:val="003234E0"/>
    <w:rsid w:val="0032707C"/>
    <w:rsid w:val="00363573"/>
    <w:rsid w:val="00363AE7"/>
    <w:rsid w:val="00367B06"/>
    <w:rsid w:val="00375B12"/>
    <w:rsid w:val="003804C0"/>
    <w:rsid w:val="00385E10"/>
    <w:rsid w:val="003915B0"/>
    <w:rsid w:val="003B4F01"/>
    <w:rsid w:val="003C2E71"/>
    <w:rsid w:val="003C4CF7"/>
    <w:rsid w:val="003E6E0C"/>
    <w:rsid w:val="003F7B66"/>
    <w:rsid w:val="00415660"/>
    <w:rsid w:val="00415A69"/>
    <w:rsid w:val="00433846"/>
    <w:rsid w:val="004347FA"/>
    <w:rsid w:val="00443C38"/>
    <w:rsid w:val="00455739"/>
    <w:rsid w:val="00466333"/>
    <w:rsid w:val="00472B26"/>
    <w:rsid w:val="00487982"/>
    <w:rsid w:val="00490A75"/>
    <w:rsid w:val="004B1D00"/>
    <w:rsid w:val="004C1EE4"/>
    <w:rsid w:val="004E3582"/>
    <w:rsid w:val="004F53EB"/>
    <w:rsid w:val="004F70E1"/>
    <w:rsid w:val="005130E3"/>
    <w:rsid w:val="0052005A"/>
    <w:rsid w:val="005342BD"/>
    <w:rsid w:val="00536354"/>
    <w:rsid w:val="00552CC8"/>
    <w:rsid w:val="00557E6B"/>
    <w:rsid w:val="005614BB"/>
    <w:rsid w:val="00573A5C"/>
    <w:rsid w:val="005A0A48"/>
    <w:rsid w:val="005A1CCE"/>
    <w:rsid w:val="005A2157"/>
    <w:rsid w:val="005A6BFA"/>
    <w:rsid w:val="005C1564"/>
    <w:rsid w:val="005E06B3"/>
    <w:rsid w:val="005E3F0A"/>
    <w:rsid w:val="005F01CB"/>
    <w:rsid w:val="005F3316"/>
    <w:rsid w:val="0060463A"/>
    <w:rsid w:val="0061672C"/>
    <w:rsid w:val="00621D2B"/>
    <w:rsid w:val="006277AF"/>
    <w:rsid w:val="00645006"/>
    <w:rsid w:val="00654576"/>
    <w:rsid w:val="00656E02"/>
    <w:rsid w:val="00660AC5"/>
    <w:rsid w:val="00662E7C"/>
    <w:rsid w:val="006728D3"/>
    <w:rsid w:val="00685AAF"/>
    <w:rsid w:val="00695431"/>
    <w:rsid w:val="0069687A"/>
    <w:rsid w:val="006A0245"/>
    <w:rsid w:val="006B088B"/>
    <w:rsid w:val="006B1E98"/>
    <w:rsid w:val="006D4FD1"/>
    <w:rsid w:val="006E544D"/>
    <w:rsid w:val="006E5941"/>
    <w:rsid w:val="006E6872"/>
    <w:rsid w:val="00700E92"/>
    <w:rsid w:val="00706FF5"/>
    <w:rsid w:val="007217B6"/>
    <w:rsid w:val="0073390E"/>
    <w:rsid w:val="00737933"/>
    <w:rsid w:val="007405D2"/>
    <w:rsid w:val="007519A6"/>
    <w:rsid w:val="00752B2D"/>
    <w:rsid w:val="00755A23"/>
    <w:rsid w:val="00762E70"/>
    <w:rsid w:val="00765425"/>
    <w:rsid w:val="00775851"/>
    <w:rsid w:val="0078341A"/>
    <w:rsid w:val="00784DE2"/>
    <w:rsid w:val="007A0E9B"/>
    <w:rsid w:val="007A7188"/>
    <w:rsid w:val="007A7F92"/>
    <w:rsid w:val="007D02D3"/>
    <w:rsid w:val="007E45BB"/>
    <w:rsid w:val="007E4701"/>
    <w:rsid w:val="00801D74"/>
    <w:rsid w:val="008073B2"/>
    <w:rsid w:val="008152CF"/>
    <w:rsid w:val="00817307"/>
    <w:rsid w:val="00824839"/>
    <w:rsid w:val="008259C3"/>
    <w:rsid w:val="00827E12"/>
    <w:rsid w:val="00830ED8"/>
    <w:rsid w:val="00835AD6"/>
    <w:rsid w:val="008417F3"/>
    <w:rsid w:val="00850A44"/>
    <w:rsid w:val="0085149C"/>
    <w:rsid w:val="00870BED"/>
    <w:rsid w:val="008A0B96"/>
    <w:rsid w:val="008A156E"/>
    <w:rsid w:val="008A1863"/>
    <w:rsid w:val="008A2D8F"/>
    <w:rsid w:val="008B0925"/>
    <w:rsid w:val="008B560E"/>
    <w:rsid w:val="008B730B"/>
    <w:rsid w:val="008D663E"/>
    <w:rsid w:val="008E1CAE"/>
    <w:rsid w:val="008F0CE2"/>
    <w:rsid w:val="00907FA5"/>
    <w:rsid w:val="0091147A"/>
    <w:rsid w:val="00912BAC"/>
    <w:rsid w:val="00923DFB"/>
    <w:rsid w:val="00926A2C"/>
    <w:rsid w:val="00940E79"/>
    <w:rsid w:val="009510E8"/>
    <w:rsid w:val="0095534A"/>
    <w:rsid w:val="00962E97"/>
    <w:rsid w:val="009775E1"/>
    <w:rsid w:val="009816CA"/>
    <w:rsid w:val="00982B4E"/>
    <w:rsid w:val="009854C4"/>
    <w:rsid w:val="00990AB8"/>
    <w:rsid w:val="009A1C5C"/>
    <w:rsid w:val="009A273E"/>
    <w:rsid w:val="009A42F6"/>
    <w:rsid w:val="009B1678"/>
    <w:rsid w:val="009C458B"/>
    <w:rsid w:val="009C4D2A"/>
    <w:rsid w:val="009D427B"/>
    <w:rsid w:val="009D6C26"/>
    <w:rsid w:val="009F14CC"/>
    <w:rsid w:val="009F2011"/>
    <w:rsid w:val="009F4F41"/>
    <w:rsid w:val="009F694C"/>
    <w:rsid w:val="00A1284E"/>
    <w:rsid w:val="00A15392"/>
    <w:rsid w:val="00A268EF"/>
    <w:rsid w:val="00A41860"/>
    <w:rsid w:val="00A61DAA"/>
    <w:rsid w:val="00A677FF"/>
    <w:rsid w:val="00A7204A"/>
    <w:rsid w:val="00A85275"/>
    <w:rsid w:val="00AA589D"/>
    <w:rsid w:val="00AB708D"/>
    <w:rsid w:val="00AC3EDD"/>
    <w:rsid w:val="00AC5141"/>
    <w:rsid w:val="00AC6B50"/>
    <w:rsid w:val="00AE622C"/>
    <w:rsid w:val="00B24778"/>
    <w:rsid w:val="00B2713B"/>
    <w:rsid w:val="00B3442C"/>
    <w:rsid w:val="00B36427"/>
    <w:rsid w:val="00B42B38"/>
    <w:rsid w:val="00B44352"/>
    <w:rsid w:val="00B4555E"/>
    <w:rsid w:val="00B808CF"/>
    <w:rsid w:val="00BB2371"/>
    <w:rsid w:val="00BC2D5C"/>
    <w:rsid w:val="00BC6D2F"/>
    <w:rsid w:val="00BD307D"/>
    <w:rsid w:val="00BD65DF"/>
    <w:rsid w:val="00BE03B8"/>
    <w:rsid w:val="00BE44C8"/>
    <w:rsid w:val="00BE5ECB"/>
    <w:rsid w:val="00BF1386"/>
    <w:rsid w:val="00C04F63"/>
    <w:rsid w:val="00C21664"/>
    <w:rsid w:val="00C25368"/>
    <w:rsid w:val="00C339CC"/>
    <w:rsid w:val="00C33AB4"/>
    <w:rsid w:val="00C42489"/>
    <w:rsid w:val="00C52B06"/>
    <w:rsid w:val="00C71516"/>
    <w:rsid w:val="00C82AB8"/>
    <w:rsid w:val="00C85439"/>
    <w:rsid w:val="00C916C2"/>
    <w:rsid w:val="00C92F4D"/>
    <w:rsid w:val="00CA3625"/>
    <w:rsid w:val="00CB18D4"/>
    <w:rsid w:val="00CB2506"/>
    <w:rsid w:val="00CC11B1"/>
    <w:rsid w:val="00CC2690"/>
    <w:rsid w:val="00CD008D"/>
    <w:rsid w:val="00CD142E"/>
    <w:rsid w:val="00CD7943"/>
    <w:rsid w:val="00CE3549"/>
    <w:rsid w:val="00CE482D"/>
    <w:rsid w:val="00CF6EF5"/>
    <w:rsid w:val="00CF70D9"/>
    <w:rsid w:val="00D01C38"/>
    <w:rsid w:val="00D17590"/>
    <w:rsid w:val="00D2520D"/>
    <w:rsid w:val="00D33F63"/>
    <w:rsid w:val="00D37878"/>
    <w:rsid w:val="00D4493C"/>
    <w:rsid w:val="00D45D7F"/>
    <w:rsid w:val="00D52787"/>
    <w:rsid w:val="00D7233F"/>
    <w:rsid w:val="00D7490B"/>
    <w:rsid w:val="00D82C4F"/>
    <w:rsid w:val="00D83768"/>
    <w:rsid w:val="00D85D37"/>
    <w:rsid w:val="00D92142"/>
    <w:rsid w:val="00E02A55"/>
    <w:rsid w:val="00E13C2E"/>
    <w:rsid w:val="00E34F37"/>
    <w:rsid w:val="00E41F8D"/>
    <w:rsid w:val="00E60543"/>
    <w:rsid w:val="00E67AB7"/>
    <w:rsid w:val="00E70BB8"/>
    <w:rsid w:val="00E727A4"/>
    <w:rsid w:val="00E75148"/>
    <w:rsid w:val="00E807E6"/>
    <w:rsid w:val="00E81F69"/>
    <w:rsid w:val="00E82279"/>
    <w:rsid w:val="00E908E7"/>
    <w:rsid w:val="00E9130E"/>
    <w:rsid w:val="00E93287"/>
    <w:rsid w:val="00E96ECE"/>
    <w:rsid w:val="00EA05AE"/>
    <w:rsid w:val="00EA18D7"/>
    <w:rsid w:val="00ED1954"/>
    <w:rsid w:val="00ED3B88"/>
    <w:rsid w:val="00EE1E94"/>
    <w:rsid w:val="00EE49D0"/>
    <w:rsid w:val="00F166D4"/>
    <w:rsid w:val="00F45027"/>
    <w:rsid w:val="00F45D0D"/>
    <w:rsid w:val="00F71166"/>
    <w:rsid w:val="00F774CC"/>
    <w:rsid w:val="00F80E45"/>
    <w:rsid w:val="00F91523"/>
    <w:rsid w:val="00F94BBC"/>
    <w:rsid w:val="00F95B5F"/>
    <w:rsid w:val="00FA481C"/>
    <w:rsid w:val="00FB3011"/>
    <w:rsid w:val="00FB3C3D"/>
    <w:rsid w:val="00FB52F8"/>
    <w:rsid w:val="00FC3907"/>
    <w:rsid w:val="00FD60A2"/>
    <w:rsid w:val="00FD6EC4"/>
    <w:rsid w:val="00FF1FA4"/>
    <w:rsid w:val="00FF6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2128AB"/>
  <w15:chartTrackingRefBased/>
  <w15:docId w15:val="{E9D63144-A4B3-44E6-BC27-5D452A34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A8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2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2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52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52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52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52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52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FC3907"/>
    <w:rPr>
      <w:vertAlign w:val="superscript"/>
    </w:rPr>
  </w:style>
  <w:style w:type="paragraph" w:styleId="Header">
    <w:name w:val="header"/>
    <w:basedOn w:val="Normal"/>
    <w:link w:val="HeaderChar"/>
    <w:uiPriority w:val="99"/>
    <w:unhideWhenUsed/>
    <w:rsid w:val="00BE03B8"/>
    <w:pPr>
      <w:tabs>
        <w:tab w:val="center" w:pos="4680"/>
        <w:tab w:val="right" w:pos="9360"/>
      </w:tabs>
    </w:pPr>
  </w:style>
  <w:style w:type="character" w:customStyle="1" w:styleId="HeaderChar">
    <w:name w:val="Header Char"/>
    <w:basedOn w:val="DefaultParagraphFont"/>
    <w:link w:val="Header"/>
    <w:uiPriority w:val="99"/>
    <w:rsid w:val="00BE03B8"/>
    <w:rPr>
      <w:rFonts w:ascii="Times New Roman" w:hAnsi="Times New Roman" w:cs="Times New Roman"/>
      <w:sz w:val="24"/>
    </w:rPr>
  </w:style>
  <w:style w:type="paragraph" w:styleId="Footer">
    <w:name w:val="footer"/>
    <w:basedOn w:val="Normal"/>
    <w:link w:val="FooterChar"/>
    <w:uiPriority w:val="99"/>
    <w:unhideWhenUsed/>
    <w:rsid w:val="00BE03B8"/>
    <w:pPr>
      <w:tabs>
        <w:tab w:val="center" w:pos="4680"/>
        <w:tab w:val="right" w:pos="9360"/>
      </w:tabs>
    </w:pPr>
  </w:style>
  <w:style w:type="character" w:customStyle="1" w:styleId="FooterChar">
    <w:name w:val="Footer Char"/>
    <w:basedOn w:val="DefaultParagraphFont"/>
    <w:link w:val="Footer"/>
    <w:uiPriority w:val="99"/>
    <w:rsid w:val="00BE03B8"/>
    <w:rPr>
      <w:rFonts w:ascii="Times New Roman" w:hAnsi="Times New Roman" w:cs="Times New Roman"/>
      <w:sz w:val="24"/>
    </w:rPr>
  </w:style>
  <w:style w:type="character" w:customStyle="1" w:styleId="Heading1Char">
    <w:name w:val="Heading 1 Char"/>
    <w:basedOn w:val="DefaultParagraphFont"/>
    <w:link w:val="Heading1"/>
    <w:uiPriority w:val="9"/>
    <w:rsid w:val="00A8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275"/>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85275"/>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8527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8527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8527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8527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85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2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275"/>
    <w:rPr>
      <w:rFonts w:ascii="Times New Roman" w:hAnsi="Times New Roman" w:cs="Times New Roman"/>
      <w:i/>
      <w:iCs/>
      <w:color w:val="404040" w:themeColor="text1" w:themeTint="BF"/>
      <w:sz w:val="24"/>
    </w:rPr>
  </w:style>
  <w:style w:type="paragraph" w:styleId="ListParagraph">
    <w:name w:val="List Paragraph"/>
    <w:basedOn w:val="Normal"/>
    <w:uiPriority w:val="34"/>
    <w:qFormat/>
    <w:rsid w:val="00A85275"/>
    <w:pPr>
      <w:ind w:left="720"/>
      <w:contextualSpacing/>
    </w:pPr>
  </w:style>
  <w:style w:type="character" w:styleId="IntenseEmphasis">
    <w:name w:val="Intense Emphasis"/>
    <w:basedOn w:val="DefaultParagraphFont"/>
    <w:uiPriority w:val="21"/>
    <w:qFormat/>
    <w:rsid w:val="00A85275"/>
    <w:rPr>
      <w:i/>
      <w:iCs/>
      <w:color w:val="0F4761" w:themeColor="accent1" w:themeShade="BF"/>
    </w:rPr>
  </w:style>
  <w:style w:type="paragraph" w:styleId="IntenseQuote">
    <w:name w:val="Intense Quote"/>
    <w:basedOn w:val="Normal"/>
    <w:next w:val="Normal"/>
    <w:link w:val="IntenseQuoteChar"/>
    <w:uiPriority w:val="30"/>
    <w:qFormat/>
    <w:rsid w:val="00A8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275"/>
    <w:rPr>
      <w:rFonts w:ascii="Times New Roman" w:hAnsi="Times New Roman" w:cs="Times New Roman"/>
      <w:i/>
      <w:iCs/>
      <w:color w:val="0F4761" w:themeColor="accent1" w:themeShade="BF"/>
      <w:sz w:val="24"/>
    </w:rPr>
  </w:style>
  <w:style w:type="character" w:styleId="IntenseReference">
    <w:name w:val="Intense Reference"/>
    <w:basedOn w:val="DefaultParagraphFont"/>
    <w:uiPriority w:val="32"/>
    <w:qFormat/>
    <w:rsid w:val="00A85275"/>
    <w:rPr>
      <w:b/>
      <w:bCs/>
      <w:smallCaps/>
      <w:color w:val="0F4761" w:themeColor="accent1" w:themeShade="BF"/>
      <w:spacing w:val="5"/>
    </w:rPr>
  </w:style>
  <w:style w:type="character" w:styleId="Hyperlink">
    <w:name w:val="Hyperlink"/>
    <w:basedOn w:val="DefaultParagraphFont"/>
    <w:uiPriority w:val="99"/>
    <w:unhideWhenUsed/>
    <w:rsid w:val="00A852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DMS!3803876.1</documentid>
  <senderid>LDL</senderid>
  <senderemail>LLAYNE@BAKERMANOCK.COM</senderemail>
  <lastmodified>2025-10-21T09:18:00.0000000-07:00</lastmodified>
  <database>DMS</database>
</properties>
</file>

<file path=customXml/itemProps1.xml><?xml version="1.0" encoding="utf-8"?>
<ds:datastoreItem xmlns:ds="http://schemas.openxmlformats.org/officeDocument/2006/customXml" ds:itemID="{D50B96A7-0277-432E-ADD8-4210A5AFA11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2025-10-21T16:23:24Z</dcterms:created>
  <dcterms:modified xsi:type="dcterms:W3CDTF">2025-10-21T16:23:24Z</dcterms:modified>
</cp:coreProperties>
</file>