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FC6F14" w:rsidRPr="00254B33" w:rsidP="00FC754B" w14:paraId="4866BD42" w14:textId="77777777">
      <w:pPr>
        <w:jc w:val="both"/>
        <w:rPr>
          <w:rFonts w:ascii="Times New Roman" w:eastAsia="Arial Unicode MS" w:hAnsi="Times New Roman"/>
          <w:kern w:val="24"/>
          <w:u w:val="single"/>
        </w:rPr>
      </w:pPr>
      <w:r w:rsidRPr="00F4219B">
        <w:rPr>
          <w:rFonts w:ascii="Times New Roman" w:eastAsia="Arial Unicode MS" w:hAnsi="Times New Roman"/>
          <w:b/>
          <w:bCs/>
          <w:i/>
          <w:iCs/>
          <w:kern w:val="24"/>
        </w:rPr>
        <w:t>Overview</w:t>
      </w:r>
    </w:p>
    <w:p w:rsidR="00110989" w:rsidRPr="00254B33" w:rsidP="00110989" w14:paraId="2877708F" w14:textId="0819A5DF">
      <w:pPr>
        <w:jc w:val="both"/>
        <w:rPr>
          <w:rFonts w:ascii="Times New Roman" w:eastAsia="Arial Unicode MS" w:hAnsi="Times New Roman"/>
          <w:kern w:val="24"/>
        </w:rPr>
      </w:pPr>
      <w:r w:rsidRPr="00254B33">
        <w:rPr>
          <w:rFonts w:ascii="Times New Roman" w:eastAsia="Arial Unicode MS" w:hAnsi="Times New Roman"/>
          <w:kern w:val="24"/>
        </w:rPr>
        <w:t xml:space="preserve">Historically, the </w:t>
      </w:r>
      <w:r w:rsidRPr="00254B33" w:rsidR="00C8068A">
        <w:rPr>
          <w:rFonts w:ascii="Times New Roman" w:eastAsia="Arial Unicode MS" w:hAnsi="Times New Roman"/>
          <w:kern w:val="24"/>
        </w:rPr>
        <w:t xml:space="preserve">Tranquillity Irrigation </w:t>
      </w:r>
      <w:r w:rsidRPr="00254B33">
        <w:rPr>
          <w:rFonts w:ascii="Times New Roman" w:eastAsia="Arial Unicode MS" w:hAnsi="Times New Roman"/>
          <w:kern w:val="24"/>
        </w:rPr>
        <w:t xml:space="preserve">District </w:t>
      </w:r>
      <w:r w:rsidRPr="00254B33" w:rsidR="00C8068A">
        <w:rPr>
          <w:rFonts w:ascii="Times New Roman" w:eastAsia="Arial Unicode MS" w:hAnsi="Times New Roman"/>
          <w:kern w:val="24"/>
        </w:rPr>
        <w:t xml:space="preserve">(District) </w:t>
      </w:r>
      <w:r w:rsidRPr="00254B33">
        <w:rPr>
          <w:rFonts w:ascii="Times New Roman" w:eastAsia="Arial Unicode MS" w:hAnsi="Times New Roman"/>
          <w:kern w:val="24"/>
        </w:rPr>
        <w:t xml:space="preserve">has levied volumetric water charges sufficient to recover the District's expenses related to </w:t>
      </w:r>
      <w:r w:rsidRPr="00254B33" w:rsidR="00254B33">
        <w:rPr>
          <w:rFonts w:ascii="Times New Roman" w:eastAsia="Arial Unicode MS" w:hAnsi="Times New Roman"/>
          <w:kern w:val="24"/>
        </w:rPr>
        <w:t xml:space="preserve">providing </w:t>
      </w:r>
      <w:r w:rsidRPr="00254B33">
        <w:rPr>
          <w:rFonts w:ascii="Times New Roman" w:eastAsia="Arial Unicode MS" w:hAnsi="Times New Roman"/>
          <w:kern w:val="24"/>
        </w:rPr>
        <w:t>agricultural water service. These water charges are more particularly described in the “</w:t>
      </w:r>
      <w:r w:rsidR="00057956">
        <w:rPr>
          <w:rFonts w:ascii="Times New Roman" w:eastAsia="Arial Unicode MS" w:hAnsi="Times New Roman"/>
          <w:kern w:val="24"/>
        </w:rPr>
        <w:t>Fee Study</w:t>
      </w:r>
      <w:r w:rsidRPr="00254B33">
        <w:rPr>
          <w:rFonts w:ascii="Times New Roman" w:eastAsia="Arial Unicode MS" w:hAnsi="Times New Roman"/>
          <w:kern w:val="24"/>
        </w:rPr>
        <w:t xml:space="preserve"> for </w:t>
      </w:r>
      <w:r w:rsidR="00660F37">
        <w:rPr>
          <w:rFonts w:ascii="Times New Roman" w:eastAsia="Arial Unicode MS" w:hAnsi="Times New Roman"/>
          <w:kern w:val="24"/>
        </w:rPr>
        <w:t xml:space="preserve">Proposed Agricultural </w:t>
      </w:r>
      <w:r w:rsidR="0043059D">
        <w:rPr>
          <w:rFonts w:ascii="Times New Roman" w:eastAsia="Arial Unicode MS" w:hAnsi="Times New Roman"/>
          <w:kern w:val="24"/>
        </w:rPr>
        <w:t>Water Rate Increases</w:t>
      </w:r>
      <w:r w:rsidRPr="00254B33">
        <w:rPr>
          <w:rFonts w:ascii="Times New Roman" w:eastAsia="Arial Unicode MS" w:hAnsi="Times New Roman"/>
          <w:kern w:val="24"/>
        </w:rPr>
        <w:t xml:space="preserve">” </w:t>
      </w:r>
      <w:r w:rsidR="006D22E8">
        <w:rPr>
          <w:rFonts w:ascii="Times New Roman" w:eastAsia="Arial Unicode MS" w:hAnsi="Times New Roman"/>
          <w:kern w:val="24"/>
        </w:rPr>
        <w:t xml:space="preserve">dated </w:t>
      </w:r>
      <w:r w:rsidR="00660F37">
        <w:rPr>
          <w:rFonts w:ascii="Times New Roman" w:eastAsia="Arial Unicode MS" w:hAnsi="Times New Roman"/>
          <w:kern w:val="24"/>
        </w:rPr>
        <w:t>Octob</w:t>
      </w:r>
      <w:r w:rsidRPr="00F2045F" w:rsidR="00660F37">
        <w:rPr>
          <w:rFonts w:ascii="Times New Roman" w:eastAsia="Arial Unicode MS" w:hAnsi="Times New Roman"/>
          <w:kern w:val="24"/>
        </w:rPr>
        <w:t xml:space="preserve">er </w:t>
      </w:r>
      <w:r w:rsidRPr="0099541F" w:rsidR="001D2296">
        <w:rPr>
          <w:rFonts w:ascii="Times New Roman" w:eastAsia="Arial Unicode MS" w:hAnsi="Times New Roman"/>
          <w:kern w:val="24"/>
        </w:rPr>
        <w:t>15</w:t>
      </w:r>
      <w:r w:rsidRPr="00EA1561" w:rsidR="0043059D">
        <w:rPr>
          <w:rFonts w:ascii="Times New Roman" w:eastAsia="Arial Unicode MS" w:hAnsi="Times New Roman"/>
          <w:kern w:val="24"/>
        </w:rPr>
        <w:t>, 202</w:t>
      </w:r>
      <w:r w:rsidR="00660F37">
        <w:rPr>
          <w:rFonts w:ascii="Times New Roman" w:eastAsia="Arial Unicode MS" w:hAnsi="Times New Roman"/>
          <w:kern w:val="24"/>
        </w:rPr>
        <w:t>5</w:t>
      </w:r>
      <w:r w:rsidRPr="00EA1561" w:rsidR="006D22E8">
        <w:rPr>
          <w:rFonts w:ascii="Times New Roman" w:eastAsia="Arial Unicode MS" w:hAnsi="Times New Roman"/>
          <w:kern w:val="24"/>
        </w:rPr>
        <w:t>, and</w:t>
      </w:r>
      <w:r w:rsidR="006D22E8">
        <w:rPr>
          <w:rFonts w:ascii="Times New Roman" w:eastAsia="Arial Unicode MS" w:hAnsi="Times New Roman"/>
          <w:kern w:val="24"/>
        </w:rPr>
        <w:t xml:space="preserve"> </w:t>
      </w:r>
      <w:r w:rsidRPr="00254B33">
        <w:rPr>
          <w:rFonts w:ascii="Times New Roman" w:eastAsia="Arial Unicode MS" w:hAnsi="Times New Roman"/>
          <w:kern w:val="24"/>
        </w:rPr>
        <w:t xml:space="preserve">prepared by Provost &amp; Pritchard Consulting Group for the District. Copies of this </w:t>
      </w:r>
      <w:r w:rsidR="00D71245">
        <w:rPr>
          <w:rFonts w:ascii="Times New Roman" w:eastAsia="Arial Unicode MS" w:hAnsi="Times New Roman"/>
          <w:kern w:val="24"/>
        </w:rPr>
        <w:t>Fee Study</w:t>
      </w:r>
      <w:r w:rsidRPr="00254B33">
        <w:rPr>
          <w:rFonts w:ascii="Times New Roman" w:eastAsia="Arial Unicode MS" w:hAnsi="Times New Roman"/>
          <w:kern w:val="24"/>
        </w:rPr>
        <w:t xml:space="preserve"> are available upon request</w:t>
      </w:r>
      <w:r w:rsidR="003C4153">
        <w:rPr>
          <w:rFonts w:ascii="Times New Roman" w:eastAsia="Arial Unicode MS" w:hAnsi="Times New Roman"/>
          <w:kern w:val="24"/>
        </w:rPr>
        <w:t xml:space="preserve"> </w:t>
      </w:r>
      <w:bookmarkStart w:id="0" w:name="_Hlk211595375"/>
      <w:r w:rsidR="003C4153">
        <w:rPr>
          <w:rFonts w:ascii="Times New Roman" w:eastAsia="Arial Unicode MS" w:hAnsi="Times New Roman"/>
          <w:kern w:val="24"/>
        </w:rPr>
        <w:t xml:space="preserve">and on the District’s website: </w:t>
      </w:r>
      <w:r w:rsidRPr="00F14E3D" w:rsidR="003C4153">
        <w:rPr>
          <w:rFonts w:ascii="Times New Roman" w:eastAsia="Arial Unicode MS" w:hAnsi="Times New Roman"/>
          <w:kern w:val="24"/>
        </w:rPr>
        <w:t>http://trqid.com/wp/reports/</w:t>
      </w:r>
      <w:r w:rsidR="002A7D3C">
        <w:rPr>
          <w:rFonts w:ascii="Times New Roman" w:eastAsia="Arial Unicode MS" w:hAnsi="Times New Roman"/>
          <w:kern w:val="24"/>
        </w:rPr>
        <w:t xml:space="preserve">. </w:t>
      </w:r>
      <w:bookmarkEnd w:id="0"/>
    </w:p>
    <w:p w:rsidR="00C8068A" w:rsidP="00BC7427" w14:paraId="0925E0CA" w14:textId="13126B53">
      <w:pPr>
        <w:jc w:val="both"/>
        <w:rPr>
          <w:rFonts w:ascii="Times New Roman" w:eastAsia="Arial Unicode MS" w:hAnsi="Times New Roman"/>
          <w:kern w:val="24"/>
        </w:rPr>
      </w:pPr>
    </w:p>
    <w:p w:rsidR="00057956" w:rsidP="00351F81" w14:paraId="0D2D59C3" w14:textId="1549BB9A">
      <w:pPr>
        <w:jc w:val="both"/>
        <w:rPr>
          <w:rFonts w:ascii="Times New Roman" w:eastAsia="Arial Unicode MS" w:hAnsi="Times New Roman"/>
          <w:kern w:val="24"/>
        </w:rPr>
      </w:pPr>
      <w:r w:rsidRPr="00660F37">
        <w:rPr>
          <w:rFonts w:ascii="Times New Roman" w:eastAsia="Arial Unicode MS" w:hAnsi="Times New Roman"/>
          <w:kern w:val="24"/>
        </w:rPr>
        <w:t xml:space="preserve">Under the current agricultural water rate structure, the District charges a rate of $120/acre-foot (AF) for surface water and $250/AF for groundwater. </w:t>
      </w:r>
      <w:r w:rsidRPr="00057956" w:rsidR="00F4219B">
        <w:rPr>
          <w:rFonts w:ascii="Times New Roman" w:eastAsia="Arial Unicode MS" w:hAnsi="Times New Roman"/>
          <w:kern w:val="24"/>
        </w:rPr>
        <w:t>Th</w:t>
      </w:r>
      <w:r w:rsidR="003036C7">
        <w:rPr>
          <w:rFonts w:ascii="Times New Roman" w:eastAsia="Arial Unicode MS" w:hAnsi="Times New Roman"/>
          <w:kern w:val="24"/>
        </w:rPr>
        <w:t>ese</w:t>
      </w:r>
      <w:r w:rsidRPr="00057956" w:rsidR="00F4219B">
        <w:rPr>
          <w:rFonts w:ascii="Times New Roman" w:eastAsia="Arial Unicode MS" w:hAnsi="Times New Roman"/>
          <w:kern w:val="24"/>
        </w:rPr>
        <w:t xml:space="preserve"> rate</w:t>
      </w:r>
      <w:r w:rsidR="003036C7">
        <w:rPr>
          <w:rFonts w:ascii="Times New Roman" w:eastAsia="Arial Unicode MS" w:hAnsi="Times New Roman"/>
          <w:kern w:val="24"/>
        </w:rPr>
        <w:t>s</w:t>
      </w:r>
      <w:r w:rsidRPr="00057956" w:rsidR="00F4219B">
        <w:rPr>
          <w:rFonts w:ascii="Times New Roman" w:eastAsia="Arial Unicode MS" w:hAnsi="Times New Roman"/>
          <w:kern w:val="24"/>
        </w:rPr>
        <w:t xml:space="preserve"> alone </w:t>
      </w:r>
      <w:r w:rsidR="003036C7">
        <w:rPr>
          <w:rFonts w:ascii="Times New Roman" w:eastAsia="Arial Unicode MS" w:hAnsi="Times New Roman"/>
          <w:kern w:val="24"/>
        </w:rPr>
        <w:t>are</w:t>
      </w:r>
      <w:r w:rsidRPr="00057956" w:rsidR="00F4219B">
        <w:rPr>
          <w:rFonts w:ascii="Times New Roman" w:eastAsia="Arial Unicode MS" w:hAnsi="Times New Roman"/>
          <w:kern w:val="24"/>
        </w:rPr>
        <w:t xml:space="preserve"> insufficient to meet t</w:t>
      </w:r>
      <w:r w:rsidR="006F4FD5">
        <w:rPr>
          <w:rFonts w:ascii="Times New Roman" w:eastAsia="Arial Unicode MS" w:hAnsi="Times New Roman"/>
          <w:kern w:val="24"/>
        </w:rPr>
        <w:t>he</w:t>
      </w:r>
      <w:r w:rsidRPr="00057956" w:rsidR="00F4219B">
        <w:rPr>
          <w:rFonts w:ascii="Times New Roman" w:eastAsia="Arial Unicode MS" w:hAnsi="Times New Roman"/>
          <w:kern w:val="24"/>
        </w:rPr>
        <w:t xml:space="preserve"> cost of service without </w:t>
      </w:r>
      <w:r w:rsidR="00F2045F">
        <w:rPr>
          <w:rFonts w:ascii="Times New Roman" w:eastAsia="Arial Unicode MS" w:hAnsi="Times New Roman"/>
          <w:kern w:val="24"/>
        </w:rPr>
        <w:t xml:space="preserve">supplementing District revenue with </w:t>
      </w:r>
      <w:r w:rsidRPr="00057956" w:rsidR="00F4219B">
        <w:rPr>
          <w:rFonts w:ascii="Times New Roman" w:eastAsia="Arial Unicode MS" w:hAnsi="Times New Roman"/>
          <w:kern w:val="24"/>
        </w:rPr>
        <w:t xml:space="preserve"> outside water sales </w:t>
      </w:r>
      <w:r w:rsidR="00F4219B">
        <w:rPr>
          <w:rFonts w:ascii="Times New Roman" w:eastAsia="Arial Unicode MS" w:hAnsi="Times New Roman"/>
          <w:kern w:val="24"/>
        </w:rPr>
        <w:t>an</w:t>
      </w:r>
      <w:r w:rsidR="00351F81">
        <w:rPr>
          <w:rFonts w:ascii="Times New Roman" w:eastAsia="Arial Unicode MS" w:hAnsi="Times New Roman"/>
          <w:kern w:val="24"/>
        </w:rPr>
        <w:t>d</w:t>
      </w:r>
      <w:r w:rsidRPr="00057956" w:rsidR="00F4219B">
        <w:rPr>
          <w:rFonts w:ascii="Times New Roman" w:eastAsia="Arial Unicode MS" w:hAnsi="Times New Roman"/>
          <w:kern w:val="24"/>
        </w:rPr>
        <w:t xml:space="preserve"> utilizing District reserve</w:t>
      </w:r>
      <w:r w:rsidR="00351F81">
        <w:rPr>
          <w:rFonts w:ascii="Times New Roman" w:eastAsia="Arial Unicode MS" w:hAnsi="Times New Roman"/>
          <w:kern w:val="24"/>
        </w:rPr>
        <w:t>s</w:t>
      </w:r>
      <w:r w:rsidR="00F4219B">
        <w:rPr>
          <w:rFonts w:ascii="Times New Roman" w:eastAsia="Arial Unicode MS" w:hAnsi="Times New Roman"/>
          <w:kern w:val="24"/>
        </w:rPr>
        <w:t xml:space="preserve">. </w:t>
      </w:r>
      <w:r w:rsidRPr="00254B33" w:rsidR="00351F81">
        <w:rPr>
          <w:rFonts w:ascii="Times New Roman" w:eastAsia="Arial Unicode MS" w:hAnsi="Times New Roman"/>
          <w:kern w:val="24"/>
        </w:rPr>
        <w:t xml:space="preserve">Therefore, agricultural water service customers are </w:t>
      </w:r>
      <w:r w:rsidR="00351F81">
        <w:rPr>
          <w:rFonts w:ascii="Times New Roman" w:eastAsia="Arial Unicode MS" w:hAnsi="Times New Roman"/>
          <w:kern w:val="24"/>
        </w:rPr>
        <w:t xml:space="preserve">being </w:t>
      </w:r>
      <w:r w:rsidR="008C329C">
        <w:rPr>
          <w:rFonts w:ascii="Times New Roman" w:eastAsia="Arial Unicode MS" w:hAnsi="Times New Roman"/>
          <w:kern w:val="24"/>
        </w:rPr>
        <w:t>presented with</w:t>
      </w:r>
      <w:r w:rsidRPr="00254B33" w:rsidR="00351F81">
        <w:rPr>
          <w:rFonts w:ascii="Times New Roman" w:eastAsia="Arial Unicode MS" w:hAnsi="Times New Roman"/>
          <w:kern w:val="24"/>
        </w:rPr>
        <w:t xml:space="preserve"> </w:t>
      </w:r>
      <w:r w:rsidR="00D71245">
        <w:rPr>
          <w:rFonts w:ascii="Times New Roman" w:eastAsia="Arial Unicode MS" w:hAnsi="Times New Roman"/>
          <w:kern w:val="24"/>
        </w:rPr>
        <w:t xml:space="preserve">a </w:t>
      </w:r>
      <w:r w:rsidRPr="00254B33" w:rsidR="00351F81">
        <w:rPr>
          <w:rFonts w:ascii="Times New Roman" w:eastAsia="Arial Unicode MS" w:hAnsi="Times New Roman"/>
          <w:kern w:val="24"/>
        </w:rPr>
        <w:t>new rate</w:t>
      </w:r>
      <w:r w:rsidR="00351F81">
        <w:rPr>
          <w:rFonts w:ascii="Times New Roman" w:eastAsia="Arial Unicode MS" w:hAnsi="Times New Roman"/>
          <w:kern w:val="24"/>
        </w:rPr>
        <w:t xml:space="preserve"> structure</w:t>
      </w:r>
      <w:r w:rsidRPr="00254B33" w:rsidR="00351F81">
        <w:rPr>
          <w:rFonts w:ascii="Times New Roman" w:eastAsia="Arial Unicode MS" w:hAnsi="Times New Roman"/>
          <w:kern w:val="24"/>
        </w:rPr>
        <w:t xml:space="preserve"> that recover</w:t>
      </w:r>
      <w:r w:rsidR="00D71245">
        <w:rPr>
          <w:rFonts w:ascii="Times New Roman" w:eastAsia="Arial Unicode MS" w:hAnsi="Times New Roman"/>
          <w:kern w:val="24"/>
        </w:rPr>
        <w:t>s</w:t>
      </w:r>
      <w:r w:rsidRPr="00254B33" w:rsidR="00351F81">
        <w:rPr>
          <w:rFonts w:ascii="Times New Roman" w:eastAsia="Arial Unicode MS" w:hAnsi="Times New Roman"/>
          <w:kern w:val="24"/>
        </w:rPr>
        <w:t xml:space="preserve"> the </w:t>
      </w:r>
      <w:r>
        <w:rPr>
          <w:rFonts w:ascii="Times New Roman" w:eastAsia="Arial Unicode MS" w:hAnsi="Times New Roman"/>
          <w:kern w:val="24"/>
        </w:rPr>
        <w:t xml:space="preserve">blended </w:t>
      </w:r>
      <w:r w:rsidRPr="00254B33" w:rsidR="00351F81">
        <w:rPr>
          <w:rFonts w:ascii="Times New Roman" w:eastAsia="Arial Unicode MS" w:hAnsi="Times New Roman"/>
          <w:kern w:val="24"/>
        </w:rPr>
        <w:t>costs related to providing agricultural water service</w:t>
      </w:r>
      <w:r w:rsidR="00D71245">
        <w:rPr>
          <w:rFonts w:ascii="Times New Roman" w:eastAsia="Arial Unicode MS" w:hAnsi="Times New Roman"/>
          <w:kern w:val="24"/>
        </w:rPr>
        <w:t xml:space="preserve"> at</w:t>
      </w:r>
      <w:r w:rsidR="00351F81">
        <w:rPr>
          <w:rFonts w:ascii="Times New Roman" w:eastAsia="Arial Unicode MS" w:hAnsi="Times New Roman"/>
          <w:kern w:val="24"/>
        </w:rPr>
        <w:t xml:space="preserve"> a</w:t>
      </w:r>
      <w:r w:rsidRPr="00057956" w:rsidR="00F4219B">
        <w:rPr>
          <w:rFonts w:ascii="Times New Roman" w:eastAsia="Arial Unicode MS" w:hAnsi="Times New Roman"/>
          <w:kern w:val="24"/>
        </w:rPr>
        <w:t xml:space="preserve"> water rate of $</w:t>
      </w:r>
      <w:bookmarkStart w:id="1" w:name="_Ref511824558"/>
      <w:r>
        <w:rPr>
          <w:rFonts w:ascii="Times New Roman" w:eastAsia="Arial Unicode MS" w:hAnsi="Times New Roman"/>
          <w:kern w:val="24"/>
        </w:rPr>
        <w:t>154</w:t>
      </w:r>
      <w:r w:rsidRPr="00660F37">
        <w:rPr>
          <w:rFonts w:ascii="Times New Roman" w:eastAsia="Arial Unicode MS" w:hAnsi="Times New Roman"/>
          <w:kern w:val="24"/>
        </w:rPr>
        <w:t xml:space="preserve">/AF beginning in 2026, regardless of the source, and </w:t>
      </w:r>
      <w:r w:rsidR="002A7D3C">
        <w:rPr>
          <w:rFonts w:ascii="Times New Roman" w:eastAsia="Arial Unicode MS" w:hAnsi="Times New Roman"/>
          <w:kern w:val="24"/>
        </w:rPr>
        <w:t xml:space="preserve">the District </w:t>
      </w:r>
      <w:r w:rsidRPr="00660F37">
        <w:rPr>
          <w:rFonts w:ascii="Times New Roman" w:eastAsia="Arial Unicode MS" w:hAnsi="Times New Roman"/>
          <w:kern w:val="24"/>
        </w:rPr>
        <w:t>is asking for approval up to a maximum rate of $170/AF.</w:t>
      </w:r>
    </w:p>
    <w:p w:rsidR="00351F81" w:rsidRPr="00351F81" w:rsidP="00351F81" w14:paraId="1FD9400B" w14:textId="71C42107">
      <w:pPr>
        <w:jc w:val="both"/>
        <w:rPr>
          <w:rFonts w:ascii="Times New Roman" w:eastAsia="Arial Unicode MS" w:hAnsi="Times New Roman"/>
          <w:kern w:val="24"/>
        </w:rPr>
      </w:pPr>
    </w:p>
    <w:tbl>
      <w:tblPr>
        <w:tblW w:w="701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70"/>
        <w:gridCol w:w="2310"/>
        <w:gridCol w:w="2430"/>
      </w:tblGrid>
      <w:tr w14:paraId="36D3750C" w14:textId="77777777" w:rsidTr="00660F37">
        <w:tblPrEx>
          <w:tblW w:w="7010" w:type="dxa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85"/>
          <w:jc w:val="center"/>
        </w:trPr>
        <w:tc>
          <w:tcPr>
            <w:tcW w:w="2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660F37" w:rsidRPr="002A7D3C" w:rsidP="001809E9" w14:paraId="4C1E57F0" w14:textId="7777777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en-US" w:eastAsia="en-US" w:bidi="ar-SA"/>
              </w:rPr>
            </w:pPr>
            <w:r w:rsidRPr="002A7D3C">
              <w:rPr>
                <w:rFonts w:ascii="Times New Roman" w:hAnsi="Times New Roman"/>
                <w:b/>
                <w:bCs/>
                <w:sz w:val="20"/>
                <w:szCs w:val="24"/>
                <w:lang w:val="en-US" w:eastAsia="en-US" w:bidi="ar-SA"/>
              </w:rPr>
              <w:t>Classification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0F37" w:rsidRPr="002A7D3C" w:rsidP="001809E9" w14:paraId="432079D0" w14:textId="7777777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en-US" w:eastAsia="en-US" w:bidi="ar-SA"/>
              </w:rPr>
            </w:pPr>
            <w:r w:rsidRPr="002A7D3C">
              <w:rPr>
                <w:rFonts w:ascii="Times New Roman" w:hAnsi="Times New Roman"/>
                <w:b/>
                <w:bCs/>
                <w:sz w:val="20"/>
                <w:szCs w:val="24"/>
                <w:lang w:val="en-US" w:eastAsia="en-US" w:bidi="ar-SA"/>
              </w:rPr>
              <w:t>Current Rate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541F" w:rsidRPr="002A7D3C" w:rsidP="001809E9" w14:paraId="78DFA540" w14:textId="1C7DCC6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en-US" w:eastAsia="en-US" w:bidi="ar-SA"/>
              </w:rPr>
            </w:pPr>
            <w:r w:rsidRPr="002A7D3C">
              <w:rPr>
                <w:rFonts w:ascii="Times New Roman" w:hAnsi="Times New Roman"/>
                <w:b/>
                <w:bCs/>
                <w:sz w:val="20"/>
                <w:szCs w:val="24"/>
                <w:lang w:val="en-US" w:eastAsia="en-US" w:bidi="ar-SA"/>
              </w:rPr>
              <w:t>Proposed Maximum Rate</w:t>
            </w:r>
          </w:p>
        </w:tc>
      </w:tr>
      <w:tr w14:paraId="339F33A5" w14:textId="77777777" w:rsidTr="00660F37">
        <w:tblPrEx>
          <w:tblW w:w="7010" w:type="dxa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  <w:jc w:val="center"/>
        </w:trPr>
        <w:tc>
          <w:tcPr>
            <w:tcW w:w="2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F37" w:rsidRPr="002A7D3C" w:rsidP="001809E9" w14:paraId="693E1D4E" w14:textId="7777777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en-US" w:eastAsia="en-US" w:bidi="ar-SA"/>
              </w:rPr>
            </w:pPr>
            <w:r w:rsidRPr="002A7D3C">
              <w:rPr>
                <w:rFonts w:ascii="Times New Roman" w:hAnsi="Times New Roman"/>
                <w:color w:val="000000"/>
                <w:sz w:val="20"/>
                <w:szCs w:val="24"/>
                <w:lang w:val="en-US" w:eastAsia="en-US" w:bidi="ar-SA"/>
              </w:rPr>
              <w:t>Agricultural Water Rate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F37" w:rsidRPr="002A7D3C" w:rsidP="001809E9" w14:paraId="0EF73246" w14:textId="7777777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en-US" w:eastAsia="en-US" w:bidi="ar-SA"/>
              </w:rPr>
            </w:pPr>
            <w:r w:rsidRPr="002A7D3C">
              <w:rPr>
                <w:rFonts w:ascii="Times New Roman" w:hAnsi="Times New Roman"/>
                <w:color w:val="000000"/>
                <w:sz w:val="20"/>
                <w:szCs w:val="24"/>
                <w:lang w:val="en-US" w:eastAsia="en-US" w:bidi="ar-SA"/>
              </w:rPr>
              <w:t>$120/AF (surface)</w:t>
            </w:r>
          </w:p>
          <w:p w:rsidR="00660F37" w:rsidRPr="002A7D3C" w:rsidP="001809E9" w14:paraId="3C50615A" w14:textId="7777777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en-US" w:eastAsia="en-US" w:bidi="ar-SA"/>
              </w:rPr>
            </w:pPr>
            <w:r w:rsidRPr="002A7D3C">
              <w:rPr>
                <w:rFonts w:ascii="Times New Roman" w:hAnsi="Times New Roman"/>
                <w:color w:val="000000"/>
                <w:sz w:val="20"/>
                <w:szCs w:val="24"/>
                <w:lang w:val="en-US" w:eastAsia="en-US" w:bidi="ar-SA"/>
              </w:rPr>
              <w:t>$250/AF (groundwater)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37" w:rsidRPr="002A7D3C" w:rsidP="001809E9" w14:paraId="6AC8C7A0" w14:textId="7777777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en-US" w:eastAsia="en-US" w:bidi="ar-SA"/>
              </w:rPr>
            </w:pPr>
            <w:r w:rsidRPr="002A7D3C">
              <w:rPr>
                <w:rFonts w:ascii="Times New Roman" w:hAnsi="Times New Roman"/>
                <w:color w:val="000000"/>
                <w:sz w:val="20"/>
                <w:szCs w:val="24"/>
                <w:lang w:val="en-US" w:eastAsia="en-US" w:bidi="ar-SA"/>
              </w:rPr>
              <w:t>$170/AF</w:t>
            </w:r>
          </w:p>
        </w:tc>
      </w:tr>
    </w:tbl>
    <w:p w:rsidR="00C81DC9" w:rsidRPr="00254B33" w:rsidP="00BC7427" w14:paraId="388294D5" w14:textId="54B1DEBE">
      <w:pPr>
        <w:jc w:val="both"/>
        <w:rPr>
          <w:rFonts w:ascii="Times New Roman" w:eastAsia="Arial Unicode MS" w:hAnsi="Times New Roman"/>
          <w:kern w:val="24"/>
        </w:rPr>
      </w:pPr>
    </w:p>
    <w:p w:rsidR="00C8068A" w:rsidRPr="00C8068A" w:rsidP="00C8068A" w14:paraId="049481CE" w14:textId="48AECE53">
      <w:pPr>
        <w:jc w:val="both"/>
        <w:rPr>
          <w:rFonts w:ascii="Times New Roman" w:eastAsia="Arial Unicode MS" w:hAnsi="Times New Roman"/>
          <w:b/>
          <w:bCs/>
          <w:i/>
          <w:iCs/>
          <w:kern w:val="24"/>
        </w:rPr>
      </w:pPr>
      <w:r w:rsidRPr="00C8068A">
        <w:rPr>
          <w:rFonts w:ascii="Times New Roman" w:eastAsia="Arial Unicode MS" w:hAnsi="Times New Roman"/>
          <w:b/>
          <w:bCs/>
          <w:i/>
          <w:iCs/>
          <w:kern w:val="24"/>
        </w:rPr>
        <w:t>Public Notice Process</w:t>
      </w:r>
    </w:p>
    <w:p w:rsidR="00C8068A" w:rsidP="00C8068A" w14:paraId="504467D1" w14:textId="57CBAD69">
      <w:pPr>
        <w:jc w:val="both"/>
        <w:rPr>
          <w:rFonts w:ascii="Times New Roman" w:eastAsia="Arial Unicode MS" w:hAnsi="Times New Roman"/>
          <w:kern w:val="24"/>
        </w:rPr>
      </w:pPr>
      <w:r w:rsidRPr="00C8068A">
        <w:rPr>
          <w:rFonts w:ascii="Times New Roman" w:eastAsia="Arial Unicode MS" w:hAnsi="Times New Roman"/>
          <w:kern w:val="24"/>
        </w:rPr>
        <w:t xml:space="preserve">In 1996, California voters adopted Proposition 218. Among other things, Proposition 218 requires </w:t>
      </w:r>
      <w:r w:rsidR="003036C7">
        <w:rPr>
          <w:rFonts w:ascii="Times New Roman" w:eastAsia="Arial Unicode MS" w:hAnsi="Times New Roman"/>
          <w:kern w:val="24"/>
        </w:rPr>
        <w:t xml:space="preserve">that public agencies follow </w:t>
      </w:r>
      <w:r w:rsidRPr="00C8068A">
        <w:rPr>
          <w:rFonts w:ascii="Times New Roman" w:eastAsia="Arial Unicode MS" w:hAnsi="Times New Roman"/>
          <w:kern w:val="24"/>
        </w:rPr>
        <w:t>a specific process to impose or increase certain types of fees, including water rates and charges. In partic</w:t>
      </w:r>
      <w:r w:rsidRPr="00B75244">
        <w:rPr>
          <w:rFonts w:ascii="Times New Roman" w:eastAsia="Arial Unicode MS" w:hAnsi="Times New Roman"/>
          <w:kern w:val="24"/>
        </w:rPr>
        <w:t xml:space="preserve">ular, the provisions of Proposition 218 set forth in Article XIII D, Section 6 of the California Constitution provide that certain types of “Property Related Fees” are subject to a “majority protest” process. If protests are filed on behalf of a majority </w:t>
      </w:r>
      <w:bookmarkStart w:id="2" w:name="_Hlk211595663"/>
      <w:r w:rsidR="003036C7">
        <w:rPr>
          <w:rFonts w:ascii="Times New Roman" w:eastAsia="Arial Unicode MS" w:hAnsi="Times New Roman"/>
          <w:kern w:val="24"/>
        </w:rPr>
        <w:t xml:space="preserve">(50% plus one) </w:t>
      </w:r>
      <w:bookmarkEnd w:id="2"/>
      <w:r w:rsidRPr="00B75244">
        <w:rPr>
          <w:rFonts w:ascii="Times New Roman" w:eastAsia="Arial Unicode MS" w:hAnsi="Times New Roman"/>
          <w:kern w:val="24"/>
        </w:rPr>
        <w:t xml:space="preserve">of the parcels subject to the </w:t>
      </w:r>
      <w:r w:rsidR="003036C7">
        <w:rPr>
          <w:rFonts w:ascii="Times New Roman" w:eastAsia="Arial Unicode MS" w:hAnsi="Times New Roman"/>
          <w:kern w:val="24"/>
        </w:rPr>
        <w:t xml:space="preserve">proposed </w:t>
      </w:r>
      <w:r w:rsidRPr="00B75244" w:rsidR="00AD45F0">
        <w:rPr>
          <w:rFonts w:ascii="Times New Roman" w:eastAsia="Arial Unicode MS" w:hAnsi="Times New Roman"/>
          <w:kern w:val="24"/>
        </w:rPr>
        <w:t xml:space="preserve">rates and </w:t>
      </w:r>
      <w:r w:rsidRPr="00B75244">
        <w:rPr>
          <w:rFonts w:ascii="Times New Roman" w:eastAsia="Arial Unicode MS" w:hAnsi="Times New Roman"/>
          <w:kern w:val="24"/>
        </w:rPr>
        <w:t xml:space="preserve">charges prior to the close of the </w:t>
      </w:r>
      <w:r w:rsidR="006A03B2">
        <w:rPr>
          <w:rFonts w:ascii="Times New Roman" w:eastAsia="Arial Unicode MS" w:hAnsi="Times New Roman"/>
          <w:kern w:val="24"/>
        </w:rPr>
        <w:t xml:space="preserve">public hearing to take place on </w:t>
      </w:r>
      <w:r w:rsidRPr="0099541F" w:rsidR="00660F37">
        <w:rPr>
          <w:rFonts w:ascii="Times New Roman" w:eastAsia="Arial Unicode MS" w:hAnsi="Times New Roman"/>
          <w:kern w:val="24"/>
        </w:rPr>
        <w:t>December</w:t>
      </w:r>
      <w:r w:rsidRPr="0099541F">
        <w:rPr>
          <w:rFonts w:ascii="Times New Roman" w:eastAsia="Arial Unicode MS" w:hAnsi="Times New Roman"/>
          <w:kern w:val="24"/>
        </w:rPr>
        <w:t xml:space="preserve"> </w:t>
      </w:r>
      <w:r w:rsidRPr="0099541F" w:rsidR="003036C7">
        <w:rPr>
          <w:rFonts w:ascii="Times New Roman" w:eastAsia="Arial Unicode MS" w:hAnsi="Times New Roman"/>
          <w:kern w:val="24"/>
        </w:rPr>
        <w:t>17</w:t>
      </w:r>
      <w:r w:rsidRPr="003036C7">
        <w:rPr>
          <w:rFonts w:ascii="Times New Roman" w:eastAsia="Arial Unicode MS" w:hAnsi="Times New Roman"/>
          <w:kern w:val="24"/>
        </w:rPr>
        <w:t>, 20</w:t>
      </w:r>
      <w:r w:rsidRPr="003036C7" w:rsidR="00351F81">
        <w:rPr>
          <w:rFonts w:ascii="Times New Roman" w:eastAsia="Arial Unicode MS" w:hAnsi="Times New Roman"/>
          <w:kern w:val="24"/>
        </w:rPr>
        <w:t>2</w:t>
      </w:r>
      <w:r w:rsidRPr="003036C7" w:rsidR="00660F37">
        <w:rPr>
          <w:rFonts w:ascii="Times New Roman" w:eastAsia="Arial Unicode MS" w:hAnsi="Times New Roman"/>
          <w:kern w:val="24"/>
        </w:rPr>
        <w:t>5</w:t>
      </w:r>
      <w:r w:rsidRPr="003036C7" w:rsidR="0025234A">
        <w:rPr>
          <w:rFonts w:ascii="Times New Roman" w:eastAsia="Arial Unicode MS" w:hAnsi="Times New Roman"/>
          <w:kern w:val="24"/>
        </w:rPr>
        <w:t>,</w:t>
      </w:r>
      <w:r w:rsidRPr="00B75244">
        <w:rPr>
          <w:rFonts w:ascii="Times New Roman" w:eastAsia="Arial Unicode MS" w:hAnsi="Times New Roman"/>
          <w:kern w:val="24"/>
        </w:rPr>
        <w:t xml:space="preserve"> the District cannot adopt the proposed water rates. If a majority of the parcels do not protest the proposed </w:t>
      </w:r>
      <w:r w:rsidRPr="00B75244" w:rsidR="00AD45F0">
        <w:rPr>
          <w:rFonts w:ascii="Times New Roman" w:eastAsia="Arial Unicode MS" w:hAnsi="Times New Roman"/>
          <w:kern w:val="24"/>
        </w:rPr>
        <w:t>rate</w:t>
      </w:r>
      <w:r w:rsidRPr="00B75244">
        <w:rPr>
          <w:rFonts w:ascii="Times New Roman" w:eastAsia="Arial Unicode MS" w:hAnsi="Times New Roman"/>
          <w:kern w:val="24"/>
        </w:rPr>
        <w:t>s, the District</w:t>
      </w:r>
      <w:r w:rsidR="00C23C78">
        <w:rPr>
          <w:rFonts w:ascii="Times New Roman" w:eastAsia="Arial Unicode MS" w:hAnsi="Times New Roman"/>
          <w:kern w:val="24"/>
        </w:rPr>
        <w:t>’s</w:t>
      </w:r>
      <w:r w:rsidRPr="00B75244">
        <w:rPr>
          <w:rFonts w:ascii="Times New Roman" w:eastAsia="Arial Unicode MS" w:hAnsi="Times New Roman"/>
          <w:kern w:val="24"/>
        </w:rPr>
        <w:t xml:space="preserve"> </w:t>
      </w:r>
      <w:r w:rsidR="006A03B2">
        <w:rPr>
          <w:rFonts w:ascii="Times New Roman" w:eastAsia="Arial Unicode MS" w:hAnsi="Times New Roman"/>
          <w:kern w:val="24"/>
        </w:rPr>
        <w:t>Board of Directors may proceed to</w:t>
      </w:r>
      <w:r w:rsidRPr="00B75244" w:rsidR="006A03B2">
        <w:rPr>
          <w:rFonts w:ascii="Times New Roman" w:eastAsia="Arial Unicode MS" w:hAnsi="Times New Roman"/>
          <w:kern w:val="24"/>
        </w:rPr>
        <w:t xml:space="preserve"> </w:t>
      </w:r>
      <w:r w:rsidRPr="00B75244">
        <w:rPr>
          <w:rFonts w:ascii="Times New Roman" w:eastAsia="Arial Unicode MS" w:hAnsi="Times New Roman"/>
          <w:kern w:val="24"/>
        </w:rPr>
        <w:t xml:space="preserve">adopt the proposed </w:t>
      </w:r>
      <w:r w:rsidRPr="00B75244" w:rsidR="00AD45F0">
        <w:rPr>
          <w:rFonts w:ascii="Times New Roman" w:eastAsia="Arial Unicode MS" w:hAnsi="Times New Roman"/>
          <w:kern w:val="24"/>
        </w:rPr>
        <w:t>rates</w:t>
      </w:r>
      <w:r w:rsidR="006A03B2">
        <w:rPr>
          <w:rFonts w:ascii="Times New Roman" w:eastAsia="Arial Unicode MS" w:hAnsi="Times New Roman"/>
          <w:kern w:val="24"/>
        </w:rPr>
        <w:t xml:space="preserve"> at an amount up to the proposed maximum rate</w:t>
      </w:r>
      <w:r w:rsidRPr="00B75244">
        <w:rPr>
          <w:rFonts w:ascii="Times New Roman" w:eastAsia="Arial Unicode MS" w:hAnsi="Times New Roman"/>
          <w:kern w:val="24"/>
        </w:rPr>
        <w:t xml:space="preserve">. The proposed </w:t>
      </w:r>
      <w:r w:rsidRPr="00B75244" w:rsidR="00AD45F0">
        <w:rPr>
          <w:rFonts w:ascii="Times New Roman" w:eastAsia="Arial Unicode MS" w:hAnsi="Times New Roman"/>
          <w:kern w:val="24"/>
        </w:rPr>
        <w:t>rate</w:t>
      </w:r>
      <w:r w:rsidRPr="00B75244">
        <w:rPr>
          <w:rFonts w:ascii="Times New Roman" w:eastAsia="Arial Unicode MS" w:hAnsi="Times New Roman"/>
          <w:kern w:val="24"/>
        </w:rPr>
        <w:t xml:space="preserve">s, if enacted, will take effect no </w:t>
      </w:r>
      <w:r w:rsidRPr="00660F37">
        <w:rPr>
          <w:rFonts w:ascii="Times New Roman" w:eastAsia="Arial Unicode MS" w:hAnsi="Times New Roman"/>
          <w:kern w:val="24"/>
        </w:rPr>
        <w:t xml:space="preserve">earlier than </w:t>
      </w:r>
      <w:r w:rsidRPr="00660F37" w:rsidR="00660F37">
        <w:rPr>
          <w:rFonts w:ascii="Times New Roman" w:eastAsia="Arial Unicode MS" w:hAnsi="Times New Roman"/>
          <w:kern w:val="24"/>
        </w:rPr>
        <w:t>January 1, 2026</w:t>
      </w:r>
      <w:r w:rsidRPr="00B75244">
        <w:rPr>
          <w:rFonts w:ascii="Times New Roman" w:eastAsia="Arial Unicode MS" w:hAnsi="Times New Roman"/>
          <w:kern w:val="24"/>
        </w:rPr>
        <w:t>.</w:t>
      </w:r>
    </w:p>
    <w:p w:rsidR="000A2762" w:rsidP="00C8068A" w14:paraId="690088F3" w14:textId="77777777">
      <w:pPr>
        <w:jc w:val="both"/>
        <w:rPr>
          <w:rFonts w:ascii="Times New Roman" w:eastAsia="Arial Unicode MS" w:hAnsi="Times New Roman"/>
          <w:kern w:val="24"/>
        </w:rPr>
      </w:pPr>
    </w:p>
    <w:p w:rsidR="000A2762" w:rsidP="00C8068A" w14:paraId="1FA3FEB1" w14:textId="20DF051C">
      <w:pPr>
        <w:jc w:val="both"/>
        <w:rPr>
          <w:rFonts w:ascii="Times New Roman" w:eastAsia="Arial Unicode MS" w:hAnsi="Times New Roman"/>
          <w:kern w:val="24"/>
        </w:rPr>
      </w:pPr>
      <w:bookmarkStart w:id="3" w:name="_Hlk211595591"/>
      <w:r>
        <w:rPr>
          <w:rFonts w:ascii="Times New Roman" w:eastAsia="Arial Unicode MS" w:hAnsi="Times New Roman"/>
          <w:b/>
          <w:bCs/>
          <w:i/>
          <w:iCs/>
          <w:kern w:val="24"/>
        </w:rPr>
        <w:t xml:space="preserve">Written Objection </w:t>
      </w:r>
      <w:r w:rsidRPr="00C8068A">
        <w:rPr>
          <w:rFonts w:ascii="Times New Roman" w:eastAsia="Arial Unicode MS" w:hAnsi="Times New Roman"/>
          <w:b/>
          <w:bCs/>
          <w:i/>
          <w:iCs/>
          <w:kern w:val="24"/>
        </w:rPr>
        <w:t>Process</w:t>
      </w:r>
    </w:p>
    <w:p w:rsidR="0043785B" w:rsidRPr="00254B33" w:rsidP="0043785B" w14:paraId="31A43625" w14:textId="3052F2BD">
      <w:pPr>
        <w:jc w:val="both"/>
        <w:rPr>
          <w:rFonts w:ascii="Times New Roman" w:eastAsia="Arial Unicode MS" w:hAnsi="Times New Roman"/>
          <w:kern w:val="24"/>
        </w:rPr>
      </w:pPr>
      <w:r>
        <w:rPr>
          <w:rFonts w:ascii="Times New Roman" w:eastAsia="Arial Unicode MS" w:hAnsi="Times New Roman"/>
          <w:kern w:val="24"/>
        </w:rPr>
        <w:t>The District</w:t>
      </w:r>
      <w:r w:rsidRPr="000A2762">
        <w:rPr>
          <w:rFonts w:ascii="Times New Roman" w:eastAsia="Arial Unicode MS" w:hAnsi="Times New Roman"/>
          <w:kern w:val="24"/>
        </w:rPr>
        <w:t xml:space="preserve"> will be implementing Government Code § 53759.1 </w:t>
      </w:r>
      <w:r>
        <w:rPr>
          <w:rFonts w:ascii="Times New Roman" w:eastAsia="Arial Unicode MS" w:hAnsi="Times New Roman"/>
          <w:kern w:val="24"/>
        </w:rPr>
        <w:t xml:space="preserve">(AB 2257) </w:t>
      </w:r>
      <w:r w:rsidRPr="000A2762">
        <w:rPr>
          <w:rFonts w:ascii="Times New Roman" w:eastAsia="Arial Unicode MS" w:hAnsi="Times New Roman"/>
          <w:kern w:val="24"/>
        </w:rPr>
        <w:t>related to th</w:t>
      </w:r>
      <w:r>
        <w:rPr>
          <w:rFonts w:ascii="Times New Roman" w:eastAsia="Arial Unicode MS" w:hAnsi="Times New Roman"/>
          <w:kern w:val="24"/>
        </w:rPr>
        <w:t>e proposed agricultural rates</w:t>
      </w:r>
      <w:r w:rsidRPr="000A2762">
        <w:rPr>
          <w:rFonts w:ascii="Times New Roman" w:eastAsia="Arial Unicode MS" w:hAnsi="Times New Roman"/>
          <w:kern w:val="24"/>
        </w:rPr>
        <w:t xml:space="preserve">.  Property owners may submit a written objection to the proposed </w:t>
      </w:r>
      <w:r>
        <w:rPr>
          <w:rFonts w:ascii="Times New Roman" w:eastAsia="Arial Unicode MS" w:hAnsi="Times New Roman"/>
          <w:kern w:val="24"/>
        </w:rPr>
        <w:t>agricultural rates</w:t>
      </w:r>
      <w:r w:rsidRPr="000A2762">
        <w:rPr>
          <w:rFonts w:ascii="Times New Roman" w:eastAsia="Arial Unicode MS" w:hAnsi="Times New Roman"/>
          <w:kern w:val="24"/>
        </w:rPr>
        <w:t xml:space="preserve"> that specifies the grounds for alle</w:t>
      </w:r>
      <w:r>
        <w:rPr>
          <w:rFonts w:ascii="Times New Roman" w:eastAsia="Arial Unicode MS" w:hAnsi="Times New Roman"/>
          <w:kern w:val="24"/>
        </w:rPr>
        <w:t>ged</w:t>
      </w:r>
      <w:r w:rsidRPr="000A2762">
        <w:rPr>
          <w:rFonts w:ascii="Times New Roman" w:eastAsia="Arial Unicode MS" w:hAnsi="Times New Roman"/>
          <w:kern w:val="24"/>
        </w:rPr>
        <w:t xml:space="preserve"> noncompliance with Proposition 218. Written Objections must be clearly labeled on the outside of an envelope and contain the property owner’s full name and identification </w:t>
      </w:r>
      <w:r w:rsidR="00554EA1">
        <w:rPr>
          <w:rFonts w:ascii="Times New Roman" w:eastAsia="Arial Unicode MS" w:hAnsi="Times New Roman"/>
          <w:kern w:val="24"/>
        </w:rPr>
        <w:t xml:space="preserve">of </w:t>
      </w:r>
      <w:r w:rsidRPr="000A2762">
        <w:rPr>
          <w:rFonts w:ascii="Times New Roman" w:eastAsia="Arial Unicode MS" w:hAnsi="Times New Roman"/>
          <w:kern w:val="24"/>
        </w:rPr>
        <w:t xml:space="preserve">the parcel(s) by assessor’s parcel number(s). </w:t>
      </w:r>
      <w:r>
        <w:rPr>
          <w:rFonts w:ascii="Times New Roman" w:eastAsia="Arial Unicode MS" w:hAnsi="Times New Roman"/>
          <w:kern w:val="24"/>
        </w:rPr>
        <w:t xml:space="preserve">To be considered timely, written objections must be mailed to the </w:t>
      </w:r>
      <w:r w:rsidRPr="000A2762">
        <w:rPr>
          <w:rFonts w:ascii="Times New Roman" w:eastAsia="Arial Unicode MS" w:hAnsi="Times New Roman"/>
          <w:kern w:val="24"/>
        </w:rPr>
        <w:t xml:space="preserve">Tranquillity Irrigation District Secretary at P.O. Box 487, Tranquillity, California 93668 or may be delivered in person to 25390 W. Silveira Street, Tranquillity, California 93668 </w:t>
      </w:r>
      <w:r w:rsidRPr="009102A4">
        <w:rPr>
          <w:rFonts w:ascii="Times New Roman" w:eastAsia="Arial Unicode MS" w:hAnsi="Times New Roman"/>
          <w:kern w:val="24"/>
        </w:rPr>
        <w:t xml:space="preserve">during District business hours of 8:00 a.m. to </w:t>
      </w:r>
      <w:r w:rsidRPr="009102A4" w:rsidR="009102A4">
        <w:rPr>
          <w:rFonts w:ascii="Times New Roman" w:eastAsia="Arial Unicode MS" w:hAnsi="Times New Roman"/>
          <w:kern w:val="24"/>
        </w:rPr>
        <w:t>3</w:t>
      </w:r>
      <w:r w:rsidRPr="009102A4">
        <w:rPr>
          <w:rFonts w:ascii="Times New Roman" w:eastAsia="Arial Unicode MS" w:hAnsi="Times New Roman"/>
          <w:kern w:val="24"/>
        </w:rPr>
        <w:t>:</w:t>
      </w:r>
      <w:r w:rsidRPr="009102A4" w:rsidR="009102A4">
        <w:rPr>
          <w:rFonts w:ascii="Times New Roman" w:eastAsia="Arial Unicode MS" w:hAnsi="Times New Roman"/>
          <w:kern w:val="24"/>
        </w:rPr>
        <w:t>3</w:t>
      </w:r>
      <w:r w:rsidRPr="009102A4">
        <w:rPr>
          <w:rFonts w:ascii="Times New Roman" w:eastAsia="Arial Unicode MS" w:hAnsi="Times New Roman"/>
          <w:kern w:val="24"/>
        </w:rPr>
        <w:t>0 p.m., Monday through Friday (except holidays</w:t>
      </w:r>
      <w:r w:rsidRPr="009102A4" w:rsidR="00C23C78">
        <w:rPr>
          <w:rFonts w:ascii="Times New Roman" w:eastAsia="Arial Unicode MS" w:hAnsi="Times New Roman"/>
          <w:kern w:val="24"/>
        </w:rPr>
        <w:t>)</w:t>
      </w:r>
      <w:r w:rsidRPr="009102A4">
        <w:rPr>
          <w:rFonts w:ascii="Times New Roman" w:eastAsia="Arial Unicode MS" w:hAnsi="Times New Roman"/>
          <w:kern w:val="24"/>
        </w:rPr>
        <w:t>.</w:t>
      </w:r>
      <w:r w:rsidRPr="000A2762">
        <w:rPr>
          <w:rFonts w:ascii="Times New Roman" w:eastAsia="Arial Unicode MS" w:hAnsi="Times New Roman"/>
          <w:kern w:val="24"/>
        </w:rPr>
        <w:t xml:space="preserve"> </w:t>
      </w:r>
      <w:r>
        <w:rPr>
          <w:rFonts w:ascii="Times New Roman" w:eastAsia="Arial Unicode MS" w:hAnsi="Times New Roman"/>
          <w:kern w:val="24"/>
        </w:rPr>
        <w:t xml:space="preserve">Written objections must be labeled on the outside of the envelope and received by the District </w:t>
      </w:r>
      <w:r w:rsidRPr="0099541F">
        <w:rPr>
          <w:rFonts w:ascii="Times New Roman" w:eastAsia="Arial Unicode MS" w:hAnsi="Times New Roman"/>
          <w:b/>
          <w:bCs/>
          <w:kern w:val="24"/>
          <w:u w:val="single"/>
        </w:rPr>
        <w:t>by December 10, 2025</w:t>
      </w:r>
      <w:r>
        <w:rPr>
          <w:rFonts w:ascii="Times New Roman" w:eastAsia="Arial Unicode MS" w:hAnsi="Times New Roman"/>
          <w:kern w:val="24"/>
        </w:rPr>
        <w:t xml:space="preserve"> to be considered timely. </w:t>
      </w:r>
      <w:r w:rsidRPr="000A2762">
        <w:rPr>
          <w:rFonts w:ascii="Times New Roman" w:eastAsia="Arial Unicode MS" w:hAnsi="Times New Roman"/>
          <w:kern w:val="24"/>
        </w:rPr>
        <w:t xml:space="preserve">Failure to timely object in writing bars any right to challenge the proposed </w:t>
      </w:r>
      <w:r>
        <w:rPr>
          <w:rFonts w:ascii="Times New Roman" w:eastAsia="Arial Unicode MS" w:hAnsi="Times New Roman"/>
          <w:kern w:val="24"/>
        </w:rPr>
        <w:t>agricultural rates</w:t>
      </w:r>
      <w:r w:rsidRPr="000A2762">
        <w:rPr>
          <w:rFonts w:ascii="Times New Roman" w:eastAsia="Arial Unicode MS" w:hAnsi="Times New Roman"/>
          <w:kern w:val="24"/>
        </w:rPr>
        <w:t xml:space="preserve"> through a legal proceeding.</w:t>
      </w:r>
      <w:r>
        <w:rPr>
          <w:rFonts w:ascii="Times New Roman" w:eastAsia="Arial Unicode MS" w:hAnsi="Times New Roman"/>
          <w:kern w:val="24"/>
        </w:rPr>
        <w:t xml:space="preserve"> Once submitted to the District, written objections become public record. </w:t>
      </w:r>
    </w:p>
    <w:p w:rsidR="000A2762" w:rsidRPr="000A2762" w:rsidP="000A2762" w14:paraId="27686F9D" w14:textId="03BDFB0B">
      <w:pPr>
        <w:jc w:val="both"/>
        <w:rPr>
          <w:rFonts w:ascii="Times New Roman" w:eastAsia="Arial Unicode MS" w:hAnsi="Times New Roman"/>
          <w:kern w:val="24"/>
        </w:rPr>
      </w:pPr>
    </w:p>
    <w:p w:rsidR="000A2762" w:rsidP="000A2762" w14:paraId="47756D09" w14:textId="0C786FD8">
      <w:pPr>
        <w:jc w:val="both"/>
        <w:rPr>
          <w:rFonts w:ascii="Times New Roman" w:eastAsia="Arial Unicode MS" w:hAnsi="Times New Roman"/>
          <w:kern w:val="24"/>
        </w:rPr>
      </w:pPr>
      <w:r w:rsidRPr="000A2762">
        <w:rPr>
          <w:rFonts w:ascii="Times New Roman" w:eastAsia="Arial Unicode MS" w:hAnsi="Times New Roman"/>
          <w:kern w:val="24"/>
        </w:rPr>
        <w:t xml:space="preserve">Staff will review </w:t>
      </w:r>
      <w:r>
        <w:rPr>
          <w:rFonts w:ascii="Times New Roman" w:eastAsia="Arial Unicode MS" w:hAnsi="Times New Roman"/>
          <w:kern w:val="24"/>
        </w:rPr>
        <w:t xml:space="preserve">any </w:t>
      </w:r>
      <w:r w:rsidRPr="000A2762">
        <w:rPr>
          <w:rFonts w:ascii="Times New Roman" w:eastAsia="Arial Unicode MS" w:hAnsi="Times New Roman"/>
          <w:kern w:val="24"/>
        </w:rPr>
        <w:t xml:space="preserve">timely submitted written objections, prepare written responses, and present any timely received written objections and written responses to the </w:t>
      </w:r>
      <w:r>
        <w:rPr>
          <w:rFonts w:ascii="Times New Roman" w:eastAsia="Arial Unicode MS" w:hAnsi="Times New Roman"/>
          <w:kern w:val="24"/>
        </w:rPr>
        <w:t>District</w:t>
      </w:r>
      <w:r w:rsidR="00C23C78">
        <w:rPr>
          <w:rFonts w:ascii="Times New Roman" w:eastAsia="Arial Unicode MS" w:hAnsi="Times New Roman"/>
          <w:kern w:val="24"/>
        </w:rPr>
        <w:t>’s</w:t>
      </w:r>
      <w:r w:rsidRPr="000A2762">
        <w:rPr>
          <w:rFonts w:ascii="Times New Roman" w:eastAsia="Arial Unicode MS" w:hAnsi="Times New Roman"/>
          <w:kern w:val="24"/>
        </w:rPr>
        <w:t xml:space="preserve"> Board</w:t>
      </w:r>
      <w:r w:rsidR="00C23C78">
        <w:rPr>
          <w:rFonts w:ascii="Times New Roman" w:eastAsia="Arial Unicode MS" w:hAnsi="Times New Roman"/>
          <w:kern w:val="24"/>
        </w:rPr>
        <w:t xml:space="preserve"> of Directors</w:t>
      </w:r>
      <w:r w:rsidRPr="000A2762">
        <w:rPr>
          <w:rFonts w:ascii="Times New Roman" w:eastAsia="Arial Unicode MS" w:hAnsi="Times New Roman"/>
          <w:kern w:val="24"/>
        </w:rPr>
        <w:t xml:space="preserve"> before the close of the </w:t>
      </w:r>
      <w:r>
        <w:rPr>
          <w:rFonts w:ascii="Times New Roman" w:eastAsia="Arial Unicode MS" w:hAnsi="Times New Roman"/>
          <w:kern w:val="24"/>
        </w:rPr>
        <w:t>public</w:t>
      </w:r>
      <w:r w:rsidRPr="000A2762">
        <w:rPr>
          <w:rFonts w:ascii="Times New Roman" w:eastAsia="Arial Unicode MS" w:hAnsi="Times New Roman"/>
          <w:kern w:val="24"/>
        </w:rPr>
        <w:t xml:space="preserve"> hearing described herein </w:t>
      </w:r>
      <w:r>
        <w:rPr>
          <w:rFonts w:ascii="Times New Roman" w:eastAsia="Arial Unicode MS" w:hAnsi="Times New Roman"/>
          <w:kern w:val="24"/>
        </w:rPr>
        <w:t>to be held on December 17, 2025</w:t>
      </w:r>
      <w:r w:rsidRPr="000A2762">
        <w:rPr>
          <w:rFonts w:ascii="Times New Roman" w:eastAsia="Arial Unicode MS" w:hAnsi="Times New Roman"/>
          <w:kern w:val="24"/>
        </w:rPr>
        <w:t xml:space="preserve">. The written basis for </w:t>
      </w:r>
      <w:r>
        <w:rPr>
          <w:rFonts w:ascii="Times New Roman" w:eastAsia="Arial Unicode MS" w:hAnsi="Times New Roman"/>
          <w:kern w:val="24"/>
        </w:rPr>
        <w:t>the District’s</w:t>
      </w:r>
      <w:r w:rsidRPr="000A2762">
        <w:rPr>
          <w:rFonts w:ascii="Times New Roman" w:eastAsia="Arial Unicode MS" w:hAnsi="Times New Roman"/>
          <w:kern w:val="24"/>
        </w:rPr>
        <w:t xml:space="preserve"> proposed </w:t>
      </w:r>
      <w:r>
        <w:rPr>
          <w:rFonts w:ascii="Times New Roman" w:eastAsia="Arial Unicode MS" w:hAnsi="Times New Roman"/>
          <w:kern w:val="24"/>
        </w:rPr>
        <w:t xml:space="preserve">agricultural rate </w:t>
      </w:r>
      <w:r w:rsidRPr="000A2762">
        <w:rPr>
          <w:rFonts w:ascii="Times New Roman" w:eastAsia="Arial Unicode MS" w:hAnsi="Times New Roman"/>
          <w:kern w:val="24"/>
        </w:rPr>
        <w:t xml:space="preserve">can be found online at: </w:t>
      </w:r>
      <w:r w:rsidRPr="00F14E3D">
        <w:rPr>
          <w:rFonts w:ascii="Times New Roman" w:eastAsia="Arial Unicode MS" w:hAnsi="Times New Roman"/>
          <w:kern w:val="24"/>
        </w:rPr>
        <w:t>http://trqid.com/wp/reports/</w:t>
      </w:r>
      <w:r>
        <w:rPr>
          <w:rFonts w:ascii="Times New Roman" w:eastAsia="Arial Unicode MS" w:hAnsi="Times New Roman"/>
          <w:kern w:val="24"/>
        </w:rPr>
        <w:t xml:space="preserve">. </w:t>
      </w:r>
    </w:p>
    <w:bookmarkEnd w:id="3"/>
    <w:p w:rsidR="000A2762" w:rsidP="000A2762" w14:paraId="3EA96949" w14:textId="77777777">
      <w:pPr>
        <w:jc w:val="both"/>
        <w:rPr>
          <w:rFonts w:ascii="Times New Roman" w:eastAsia="Arial Unicode MS" w:hAnsi="Times New Roman"/>
          <w:kern w:val="24"/>
        </w:rPr>
      </w:pPr>
    </w:p>
    <w:p w:rsidR="00C8068A" w:rsidRPr="00C8068A" w:rsidP="00C8068A" w14:paraId="6B4FAEAA" w14:textId="3494ED45">
      <w:pPr>
        <w:jc w:val="both"/>
        <w:rPr>
          <w:rFonts w:ascii="Times New Roman" w:eastAsia="Arial Unicode MS" w:hAnsi="Times New Roman"/>
          <w:kern w:val="24"/>
        </w:rPr>
      </w:pPr>
      <w:bookmarkStart w:id="4" w:name="_Hlk211595598"/>
      <w:r w:rsidRPr="00C8068A">
        <w:rPr>
          <w:rFonts w:ascii="Times New Roman" w:eastAsia="Arial Unicode MS" w:hAnsi="Times New Roman"/>
          <w:b/>
          <w:bCs/>
          <w:i/>
          <w:iCs/>
          <w:kern w:val="24"/>
        </w:rPr>
        <w:t>Majority Protest Process</w:t>
      </w:r>
      <w:bookmarkEnd w:id="4"/>
    </w:p>
    <w:p w:rsidR="00C8068A" w:rsidRPr="00254B33" w:rsidP="00C8068A" w14:paraId="6AECA59E" w14:textId="261854E7">
      <w:pPr>
        <w:jc w:val="both"/>
        <w:rPr>
          <w:rFonts w:ascii="Times New Roman" w:eastAsia="Arial Unicode MS" w:hAnsi="Times New Roman"/>
          <w:kern w:val="24"/>
        </w:rPr>
      </w:pPr>
      <w:bookmarkStart w:id="5" w:name="_Hlk211595835"/>
      <w:r>
        <w:rPr>
          <w:rFonts w:ascii="Times New Roman" w:eastAsia="Arial Unicode MS" w:hAnsi="Times New Roman"/>
          <w:kern w:val="24"/>
        </w:rPr>
        <w:t>Pursuant to Proposition 218, a</w:t>
      </w:r>
      <w:r w:rsidRPr="00C8068A" w:rsidR="00F4219B">
        <w:rPr>
          <w:rFonts w:ascii="Times New Roman" w:eastAsia="Arial Unicode MS" w:hAnsi="Times New Roman"/>
          <w:kern w:val="24"/>
        </w:rPr>
        <w:t xml:space="preserve">ny </w:t>
      </w:r>
      <w:bookmarkEnd w:id="5"/>
      <w:r w:rsidRPr="00C8068A" w:rsidR="00F4219B">
        <w:rPr>
          <w:rFonts w:ascii="Times New Roman" w:eastAsia="Arial Unicode MS" w:hAnsi="Times New Roman"/>
          <w:kern w:val="24"/>
        </w:rPr>
        <w:t xml:space="preserve">property owner may submit a written protest to the proposed </w:t>
      </w:r>
      <w:r w:rsidR="00AD45F0">
        <w:rPr>
          <w:rFonts w:ascii="Times New Roman" w:eastAsia="Arial Unicode MS" w:hAnsi="Times New Roman"/>
          <w:kern w:val="24"/>
        </w:rPr>
        <w:t>rate</w:t>
      </w:r>
      <w:r w:rsidRPr="00C8068A" w:rsidR="00F4219B">
        <w:rPr>
          <w:rFonts w:ascii="Times New Roman" w:eastAsia="Arial Unicode MS" w:hAnsi="Times New Roman"/>
          <w:kern w:val="24"/>
        </w:rPr>
        <w:t>s</w:t>
      </w:r>
      <w:r>
        <w:rPr>
          <w:rFonts w:ascii="Times New Roman" w:eastAsia="Arial Unicode MS" w:hAnsi="Times New Roman"/>
          <w:kern w:val="24"/>
        </w:rPr>
        <w:t xml:space="preserve">, </w:t>
      </w:r>
      <w:bookmarkStart w:id="6" w:name="_Hlk211595849"/>
      <w:r>
        <w:rPr>
          <w:rFonts w:ascii="Times New Roman" w:eastAsia="Arial Unicode MS" w:hAnsi="Times New Roman"/>
          <w:kern w:val="24"/>
        </w:rPr>
        <w:t xml:space="preserve">which is separate and distinct from the written objection process described above. </w:t>
      </w:r>
      <w:r w:rsidRPr="000A2762">
        <w:rPr>
          <w:rFonts w:ascii="Times New Roman" w:eastAsia="Arial Unicode MS" w:hAnsi="Times New Roman"/>
          <w:kern w:val="24"/>
        </w:rPr>
        <w:t>A written protest cannot be combined with a written objection and must be submitted separately, if desired</w:t>
      </w:r>
      <w:bookmarkEnd w:id="6"/>
      <w:r w:rsidRPr="000A2762">
        <w:rPr>
          <w:rFonts w:ascii="Times New Roman" w:eastAsia="Arial Unicode MS" w:hAnsi="Times New Roman"/>
          <w:kern w:val="24"/>
        </w:rPr>
        <w:t xml:space="preserve">. </w:t>
      </w:r>
      <w:r>
        <w:rPr>
          <w:rFonts w:ascii="Times New Roman" w:eastAsia="Arial Unicode MS" w:hAnsi="Times New Roman"/>
          <w:kern w:val="24"/>
        </w:rPr>
        <w:t>O</w:t>
      </w:r>
      <w:r w:rsidRPr="00C8068A" w:rsidR="00F4219B">
        <w:rPr>
          <w:rFonts w:ascii="Times New Roman" w:eastAsia="Arial Unicode MS" w:hAnsi="Times New Roman"/>
          <w:kern w:val="24"/>
        </w:rPr>
        <w:t>nly one protest will be counted per identified parcel. Any written protest must: 1) state that the identified property owner is in opposition to the proposed water rate increases; 2) provide the location of the identified parcel (by assessor’s parcel number or street address); and 3) include the name and signature of the property owner submitting the protest.</w:t>
      </w:r>
      <w:r w:rsidR="006A03B2">
        <w:rPr>
          <w:rFonts w:ascii="Times New Roman" w:eastAsia="Arial Unicode MS" w:hAnsi="Times New Roman"/>
          <w:kern w:val="24"/>
        </w:rPr>
        <w:t xml:space="preserve"> </w:t>
      </w:r>
      <w:bookmarkStart w:id="7" w:name="_Hlk211595876"/>
      <w:r w:rsidR="006A03B2">
        <w:rPr>
          <w:rFonts w:ascii="Times New Roman" w:eastAsia="Arial Unicode MS" w:hAnsi="Times New Roman"/>
          <w:kern w:val="24"/>
        </w:rPr>
        <w:t xml:space="preserve">Once submitted to the District, protests become public record. </w:t>
      </w:r>
    </w:p>
    <w:bookmarkEnd w:id="7"/>
    <w:p w:rsidR="00C8068A" w:rsidRPr="00C8068A" w:rsidP="00C8068A" w14:paraId="139A93F7" w14:textId="5560EDE1">
      <w:pPr>
        <w:jc w:val="both"/>
        <w:rPr>
          <w:rFonts w:ascii="Times New Roman" w:eastAsia="Arial Unicode MS" w:hAnsi="Times New Roman"/>
          <w:kern w:val="24"/>
        </w:rPr>
      </w:pPr>
    </w:p>
    <w:p w:rsidR="008C329C" w:rsidP="00C8068A" w14:paraId="2C2B1E0F" w14:textId="4711831D">
      <w:pPr>
        <w:jc w:val="both"/>
        <w:rPr>
          <w:rFonts w:ascii="Times New Roman" w:eastAsia="Arial Unicode MS" w:hAnsi="Times New Roman"/>
          <w:kern w:val="24"/>
        </w:rPr>
      </w:pPr>
      <w:r w:rsidRPr="00C8068A">
        <w:rPr>
          <w:rFonts w:ascii="Times New Roman" w:eastAsia="Arial Unicode MS" w:hAnsi="Times New Roman"/>
          <w:kern w:val="24"/>
        </w:rPr>
        <w:t xml:space="preserve">Written protests may be submitted by mail to the </w:t>
      </w:r>
      <w:r w:rsidRPr="00254B33">
        <w:rPr>
          <w:rFonts w:ascii="Times New Roman" w:eastAsia="Arial Unicode MS" w:hAnsi="Times New Roman"/>
          <w:kern w:val="24"/>
        </w:rPr>
        <w:t>Tranquillity Irrigation</w:t>
      </w:r>
      <w:r w:rsidRPr="00C8068A">
        <w:rPr>
          <w:rFonts w:ascii="Times New Roman" w:eastAsia="Arial Unicode MS" w:hAnsi="Times New Roman"/>
          <w:kern w:val="24"/>
        </w:rPr>
        <w:t xml:space="preserve"> District Secretary</w:t>
      </w:r>
      <w:r w:rsidR="0025234A">
        <w:rPr>
          <w:rFonts w:ascii="Times New Roman" w:eastAsia="Arial Unicode MS" w:hAnsi="Times New Roman"/>
          <w:kern w:val="24"/>
        </w:rPr>
        <w:t xml:space="preserve"> at</w:t>
      </w:r>
      <w:r w:rsidRPr="00C8068A">
        <w:rPr>
          <w:rFonts w:ascii="Times New Roman" w:eastAsia="Arial Unicode MS" w:hAnsi="Times New Roman"/>
          <w:kern w:val="24"/>
        </w:rPr>
        <w:t xml:space="preserve"> </w:t>
      </w:r>
      <w:r w:rsidR="00351F81">
        <w:rPr>
          <w:rFonts w:ascii="Times New Roman" w:eastAsia="Arial Unicode MS" w:hAnsi="Times New Roman"/>
          <w:kern w:val="24"/>
        </w:rPr>
        <w:t>P</w:t>
      </w:r>
      <w:r w:rsidR="00920A13">
        <w:rPr>
          <w:rFonts w:ascii="Times New Roman" w:eastAsia="Arial Unicode MS" w:hAnsi="Times New Roman"/>
          <w:kern w:val="24"/>
        </w:rPr>
        <w:t>.</w:t>
      </w:r>
      <w:r w:rsidR="00351F81">
        <w:rPr>
          <w:rFonts w:ascii="Times New Roman" w:eastAsia="Arial Unicode MS" w:hAnsi="Times New Roman"/>
          <w:kern w:val="24"/>
        </w:rPr>
        <w:t>O</w:t>
      </w:r>
      <w:r w:rsidR="00920A13">
        <w:rPr>
          <w:rFonts w:ascii="Times New Roman" w:eastAsia="Arial Unicode MS" w:hAnsi="Times New Roman"/>
          <w:kern w:val="24"/>
        </w:rPr>
        <w:t>.</w:t>
      </w:r>
      <w:r w:rsidR="00351F81">
        <w:rPr>
          <w:rFonts w:ascii="Times New Roman" w:eastAsia="Arial Unicode MS" w:hAnsi="Times New Roman"/>
          <w:kern w:val="24"/>
        </w:rPr>
        <w:t xml:space="preserve"> Box 487</w:t>
      </w:r>
      <w:r w:rsidRPr="00254B33">
        <w:rPr>
          <w:rFonts w:ascii="Times New Roman" w:eastAsia="Arial Unicode MS" w:hAnsi="Times New Roman"/>
          <w:kern w:val="24"/>
        </w:rPr>
        <w:t>, Tranquillity, California 93668</w:t>
      </w:r>
      <w:r w:rsidRPr="00C8068A">
        <w:rPr>
          <w:rFonts w:ascii="Times New Roman" w:eastAsia="Arial Unicode MS" w:hAnsi="Times New Roman"/>
          <w:kern w:val="24"/>
        </w:rPr>
        <w:t xml:space="preserve"> or </w:t>
      </w:r>
      <w:r w:rsidR="0025234A">
        <w:rPr>
          <w:rFonts w:ascii="Times New Roman" w:eastAsia="Arial Unicode MS" w:hAnsi="Times New Roman"/>
          <w:kern w:val="24"/>
        </w:rPr>
        <w:t xml:space="preserve">may be delivered </w:t>
      </w:r>
      <w:r w:rsidRPr="00C8068A">
        <w:rPr>
          <w:rFonts w:ascii="Times New Roman" w:eastAsia="Arial Unicode MS" w:hAnsi="Times New Roman"/>
          <w:kern w:val="24"/>
        </w:rPr>
        <w:t xml:space="preserve">in person </w:t>
      </w:r>
      <w:r w:rsidR="0025234A">
        <w:rPr>
          <w:rFonts w:ascii="Times New Roman" w:eastAsia="Arial Unicode MS" w:hAnsi="Times New Roman"/>
          <w:kern w:val="24"/>
        </w:rPr>
        <w:t xml:space="preserve">to </w:t>
      </w:r>
      <w:r w:rsidR="00D71245">
        <w:rPr>
          <w:rFonts w:ascii="Times New Roman" w:eastAsia="Arial Unicode MS" w:hAnsi="Times New Roman"/>
          <w:kern w:val="24"/>
        </w:rPr>
        <w:t>25390 W. Silveira Street, Tranquillity, California 93668</w:t>
      </w:r>
      <w:r w:rsidR="006A03B2">
        <w:rPr>
          <w:rFonts w:ascii="Times New Roman" w:eastAsia="Arial Unicode MS" w:hAnsi="Times New Roman"/>
          <w:kern w:val="24"/>
        </w:rPr>
        <w:t xml:space="preserve"> </w:t>
      </w:r>
      <w:bookmarkStart w:id="8" w:name="_Hlk211595943"/>
      <w:r w:rsidR="006A03B2">
        <w:rPr>
          <w:rFonts w:ascii="Times New Roman" w:eastAsia="Arial Unicode MS" w:hAnsi="Times New Roman"/>
          <w:kern w:val="24"/>
        </w:rPr>
        <w:t xml:space="preserve">during District </w:t>
      </w:r>
      <w:r w:rsidRPr="009102A4" w:rsidR="006A03B2">
        <w:rPr>
          <w:rFonts w:ascii="Times New Roman" w:eastAsia="Arial Unicode MS" w:hAnsi="Times New Roman"/>
          <w:kern w:val="24"/>
        </w:rPr>
        <w:t xml:space="preserve">business hours of 8:00 a.m. to </w:t>
      </w:r>
      <w:r w:rsidRPr="009102A4" w:rsidR="009102A4">
        <w:rPr>
          <w:rFonts w:ascii="Times New Roman" w:eastAsia="Arial Unicode MS" w:hAnsi="Times New Roman"/>
          <w:kern w:val="24"/>
        </w:rPr>
        <w:t>3</w:t>
      </w:r>
      <w:r w:rsidRPr="009102A4" w:rsidR="006A03B2">
        <w:rPr>
          <w:rFonts w:ascii="Times New Roman" w:eastAsia="Arial Unicode MS" w:hAnsi="Times New Roman"/>
          <w:kern w:val="24"/>
        </w:rPr>
        <w:t>:</w:t>
      </w:r>
      <w:r w:rsidRPr="009102A4" w:rsidR="009102A4">
        <w:rPr>
          <w:rFonts w:ascii="Times New Roman" w:eastAsia="Arial Unicode MS" w:hAnsi="Times New Roman"/>
          <w:kern w:val="24"/>
        </w:rPr>
        <w:t>3</w:t>
      </w:r>
      <w:r w:rsidRPr="009102A4" w:rsidR="006A03B2">
        <w:rPr>
          <w:rFonts w:ascii="Times New Roman" w:eastAsia="Arial Unicode MS" w:hAnsi="Times New Roman"/>
          <w:kern w:val="24"/>
        </w:rPr>
        <w:t>0 p.m., Monday</w:t>
      </w:r>
      <w:r w:rsidR="006A03B2">
        <w:rPr>
          <w:rFonts w:ascii="Times New Roman" w:eastAsia="Arial Unicode MS" w:hAnsi="Times New Roman"/>
          <w:kern w:val="24"/>
        </w:rPr>
        <w:t xml:space="preserve"> through Friday (except holidays</w:t>
      </w:r>
      <w:r w:rsidR="00C23C78">
        <w:rPr>
          <w:rFonts w:ascii="Times New Roman" w:eastAsia="Arial Unicode MS" w:hAnsi="Times New Roman"/>
          <w:kern w:val="24"/>
        </w:rPr>
        <w:t>)</w:t>
      </w:r>
      <w:r w:rsidR="002A7D3C">
        <w:rPr>
          <w:rFonts w:ascii="Times New Roman" w:eastAsia="Arial Unicode MS" w:hAnsi="Times New Roman"/>
          <w:kern w:val="24"/>
        </w:rPr>
        <w:t xml:space="preserve">. </w:t>
      </w:r>
      <w:r w:rsidRPr="006A03B2" w:rsidR="006A03B2">
        <w:rPr>
          <w:rFonts w:ascii="Times New Roman" w:eastAsia="Arial Unicode MS" w:hAnsi="Times New Roman"/>
          <w:kern w:val="24"/>
        </w:rPr>
        <w:t xml:space="preserve">Regardless of how the written protest is submitted, it must be received by </w:t>
      </w:r>
      <w:r w:rsidR="006A03B2">
        <w:rPr>
          <w:rFonts w:ascii="Times New Roman" w:eastAsia="Arial Unicode MS" w:hAnsi="Times New Roman"/>
          <w:kern w:val="24"/>
        </w:rPr>
        <w:t>the District</w:t>
      </w:r>
      <w:r w:rsidRPr="006A03B2" w:rsidR="006A03B2">
        <w:rPr>
          <w:rFonts w:ascii="Times New Roman" w:eastAsia="Arial Unicode MS" w:hAnsi="Times New Roman"/>
          <w:kern w:val="24"/>
        </w:rPr>
        <w:t xml:space="preserve"> prior to the conclusion of the public comment portion of the public hearing on </w:t>
      </w:r>
      <w:r w:rsidR="006A03B2">
        <w:rPr>
          <w:rFonts w:ascii="Times New Roman" w:eastAsia="Arial Unicode MS" w:hAnsi="Times New Roman"/>
          <w:kern w:val="24"/>
        </w:rPr>
        <w:t>December 17</w:t>
      </w:r>
      <w:r w:rsidRPr="006A03B2" w:rsidR="006A03B2">
        <w:rPr>
          <w:rFonts w:ascii="Times New Roman" w:eastAsia="Arial Unicode MS" w:hAnsi="Times New Roman"/>
          <w:kern w:val="24"/>
        </w:rPr>
        <w:t>, 2025 (</w:t>
      </w:r>
      <w:r w:rsidR="00790240">
        <w:rPr>
          <w:rFonts w:ascii="Times New Roman" w:eastAsia="Arial Unicode MS" w:hAnsi="Times New Roman"/>
          <w:kern w:val="24"/>
        </w:rPr>
        <w:t>p</w:t>
      </w:r>
      <w:r w:rsidRPr="006A03B2" w:rsidR="006A03B2">
        <w:rPr>
          <w:rFonts w:ascii="Times New Roman" w:eastAsia="Arial Unicode MS" w:hAnsi="Times New Roman"/>
          <w:kern w:val="24"/>
        </w:rPr>
        <w:t xml:space="preserve">ostmark dates will not be accepted.) </w:t>
      </w:r>
      <w:bookmarkEnd w:id="8"/>
      <w:r w:rsidR="00192E6A">
        <w:rPr>
          <w:rFonts w:ascii="Times New Roman" w:eastAsia="Arial Unicode MS" w:hAnsi="Times New Roman"/>
          <w:kern w:val="24"/>
        </w:rPr>
        <w:t>Written p</w:t>
      </w:r>
      <w:r w:rsidR="0025234A">
        <w:rPr>
          <w:rFonts w:ascii="Times New Roman" w:eastAsia="Arial Unicode MS" w:hAnsi="Times New Roman"/>
          <w:kern w:val="24"/>
        </w:rPr>
        <w:t>rotests may also be submitted</w:t>
      </w:r>
      <w:r w:rsidRPr="00C8068A">
        <w:rPr>
          <w:rFonts w:ascii="Times New Roman" w:eastAsia="Arial Unicode MS" w:hAnsi="Times New Roman"/>
          <w:kern w:val="24"/>
        </w:rPr>
        <w:t xml:space="preserve"> at the public hearing, so long as they are received prior to the conclusion of the public hearing. Any protest submitted via e-mail or other electronic means will not be accepted.</w:t>
      </w:r>
    </w:p>
    <w:p w:rsidR="008C329C" w:rsidP="00C8068A" w14:paraId="0D2CE930" w14:textId="5F287FB7">
      <w:pPr>
        <w:jc w:val="both"/>
        <w:rPr>
          <w:rFonts w:ascii="Times New Roman" w:eastAsia="Arial Unicode MS" w:hAnsi="Times New Roman"/>
          <w:kern w:val="24"/>
        </w:rPr>
      </w:pPr>
    </w:p>
    <w:p w:rsidR="000A2762" w:rsidRPr="0099541F" w:rsidP="00C8068A" w14:paraId="395BF759" w14:textId="2F84688B">
      <w:pPr>
        <w:jc w:val="both"/>
        <w:rPr>
          <w:rFonts w:ascii="Times New Roman" w:eastAsia="Arial Unicode MS" w:hAnsi="Times New Roman"/>
          <w:b/>
          <w:bCs/>
          <w:i/>
          <w:iCs/>
          <w:kern w:val="24"/>
        </w:rPr>
      </w:pPr>
      <w:bookmarkStart w:id="9" w:name="_Hlk211595965"/>
      <w:r w:rsidRPr="0099541F">
        <w:rPr>
          <w:rFonts w:ascii="Times New Roman" w:eastAsia="Arial Unicode MS" w:hAnsi="Times New Roman"/>
          <w:b/>
          <w:bCs/>
          <w:i/>
          <w:iCs/>
          <w:kern w:val="24"/>
        </w:rPr>
        <w:t xml:space="preserve">Statute of Limitations </w:t>
      </w:r>
      <w:bookmarkEnd w:id="9"/>
    </w:p>
    <w:p w:rsidR="008C329C" w:rsidP="00C8068A" w14:paraId="0EFA91B6" w14:textId="4D631195">
      <w:pPr>
        <w:jc w:val="both"/>
        <w:rPr>
          <w:rFonts w:ascii="Times New Roman" w:eastAsia="Arial Unicode MS" w:hAnsi="Times New Roman"/>
          <w:kern w:val="24"/>
        </w:rPr>
      </w:pPr>
      <w:bookmarkStart w:id="10" w:name="_Hlk211595972"/>
      <w:r>
        <w:rPr>
          <w:rFonts w:ascii="Times New Roman" w:eastAsia="Arial Unicode MS" w:hAnsi="Times New Roman"/>
          <w:kern w:val="24"/>
        </w:rPr>
        <w:t xml:space="preserve">Pursuant to </w:t>
      </w:r>
      <w:bookmarkEnd w:id="10"/>
      <w:r w:rsidR="00F4219B">
        <w:rPr>
          <w:rFonts w:ascii="Times New Roman" w:eastAsia="Arial Unicode MS" w:hAnsi="Times New Roman"/>
          <w:kern w:val="24"/>
        </w:rPr>
        <w:t>California Government Code section 53759, there is a 120-day statute of limitations for challenging any new, increased, or extended fee or charge</w:t>
      </w:r>
      <w:r w:rsidR="002A7D3C">
        <w:rPr>
          <w:rFonts w:ascii="Times New Roman" w:eastAsia="Arial Unicode MS" w:hAnsi="Times New Roman"/>
          <w:kern w:val="24"/>
        </w:rPr>
        <w:t xml:space="preserve">. </w:t>
      </w:r>
      <w:r w:rsidR="00F4219B">
        <w:rPr>
          <w:rFonts w:ascii="Times New Roman" w:eastAsia="Arial Unicode MS" w:hAnsi="Times New Roman"/>
          <w:kern w:val="24"/>
        </w:rPr>
        <w:t xml:space="preserve">This statute of limitations applies to the </w:t>
      </w:r>
      <w:r w:rsidR="000A2762">
        <w:rPr>
          <w:rFonts w:ascii="Times New Roman" w:eastAsia="Arial Unicode MS" w:hAnsi="Times New Roman"/>
          <w:kern w:val="24"/>
        </w:rPr>
        <w:t xml:space="preserve">agricultural water </w:t>
      </w:r>
      <w:r w:rsidR="00F4219B">
        <w:rPr>
          <w:rFonts w:ascii="Times New Roman" w:eastAsia="Arial Unicode MS" w:hAnsi="Times New Roman"/>
          <w:kern w:val="24"/>
        </w:rPr>
        <w:t xml:space="preserve">rates and charges proposed in this notice. </w:t>
      </w:r>
    </w:p>
    <w:p w:rsidR="008C329C" w:rsidP="00C8068A" w14:paraId="492CA8E8" w14:textId="3E5177B6">
      <w:pPr>
        <w:jc w:val="center"/>
        <w:rPr>
          <w:rFonts w:ascii="Times New Roman" w:eastAsia="Arial Unicode MS" w:hAnsi="Times New Roman"/>
          <w:b/>
          <w:bCs/>
          <w:kern w:val="24"/>
        </w:rPr>
      </w:pPr>
      <w:r>
        <w:rPr>
          <w:rFonts w:ascii="Times New Roman" w:eastAsia="Arial Unicode MS" w:hAnsi="Times New Roman"/>
          <w:noProof/>
          <w:kern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369570</wp:posOffset>
                </wp:positionH>
                <wp:positionV relativeFrom="page">
                  <wp:posOffset>5223217</wp:posOffset>
                </wp:positionV>
                <wp:extent cx="7000875" cy="800100"/>
                <wp:effectExtent l="0" t="0" r="28575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001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B33" w:rsidP="00920A13" w14:textId="77777777">
                            <w:pPr>
                              <w:widowControl/>
                              <w:adjustRightInd/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51.25pt;height:63pt;margin-top:411.3pt;margin-left:29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color="#bebebe" strokeweight="0.7pt">
                <v:textbox inset="2.88pt,0,2.88pt,0">
                  <w:txbxContent>
                    <w:p w:rsidR="00254B33" w:rsidP="00920A13" w14:paraId="17986BD1" w14:textId="77777777">
                      <w:pPr>
                        <w:widowControl/>
                        <w:adjustRightInd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8068A" w:rsidRPr="00C8068A" w:rsidP="00C8068A" w14:paraId="5158B04F" w14:textId="1A3A0152">
      <w:pPr>
        <w:jc w:val="center"/>
        <w:rPr>
          <w:rFonts w:ascii="Times New Roman" w:eastAsia="Arial Unicode MS" w:hAnsi="Times New Roman"/>
          <w:b/>
          <w:bCs/>
          <w:kern w:val="24"/>
        </w:rPr>
      </w:pPr>
      <w:r w:rsidRPr="00C8068A">
        <w:rPr>
          <w:rFonts w:ascii="Times New Roman" w:eastAsia="Arial Unicode MS" w:hAnsi="Times New Roman"/>
          <w:b/>
          <w:bCs/>
          <w:kern w:val="24"/>
        </w:rPr>
        <w:t>Notice of a Public Hearing on Proposed Agricultural Water Rates</w:t>
      </w:r>
    </w:p>
    <w:p w:rsidR="0007062F" w:rsidRPr="00254B33" w:rsidP="00660F37" w14:paraId="489D1F58" w14:textId="44D78CBA">
      <w:pPr>
        <w:pStyle w:val="Style1"/>
        <w:adjustRightInd/>
        <w:jc w:val="both"/>
        <w:rPr>
          <w:rFonts w:eastAsia="Arial Unicode MS"/>
          <w:kern w:val="24"/>
        </w:rPr>
      </w:pPr>
      <w:r w:rsidRPr="00C8068A">
        <w:rPr>
          <w:rFonts w:eastAsia="Arial Unicode MS"/>
          <w:kern w:val="24"/>
        </w:rPr>
        <w:t xml:space="preserve">Pursuant to </w:t>
      </w:r>
      <w:r w:rsidR="006A03B2">
        <w:rPr>
          <w:rFonts w:eastAsia="Arial Unicode MS"/>
          <w:kern w:val="24"/>
        </w:rPr>
        <w:t>Proposition 218,</w:t>
      </w:r>
      <w:r w:rsidRPr="00C8068A">
        <w:rPr>
          <w:rFonts w:eastAsia="Arial Unicode MS"/>
          <w:kern w:val="24"/>
        </w:rPr>
        <w:t xml:space="preserve"> the </w:t>
      </w:r>
      <w:r w:rsidRPr="00B75244">
        <w:rPr>
          <w:rFonts w:eastAsia="Arial Unicode MS"/>
          <w:kern w:val="24"/>
        </w:rPr>
        <w:t xml:space="preserve">Tranquillity Irrigation District Board of Directors will hold a Public Hearing on the proposed </w:t>
      </w:r>
      <w:r w:rsidRPr="00B75244" w:rsidR="0025234A">
        <w:rPr>
          <w:rFonts w:eastAsia="Arial Unicode MS"/>
          <w:kern w:val="24"/>
        </w:rPr>
        <w:t xml:space="preserve">agricultural </w:t>
      </w:r>
      <w:r w:rsidRPr="00B75244">
        <w:rPr>
          <w:rFonts w:eastAsia="Arial Unicode MS"/>
          <w:kern w:val="24"/>
        </w:rPr>
        <w:t xml:space="preserve">water </w:t>
      </w:r>
      <w:r w:rsidRPr="000A2762">
        <w:rPr>
          <w:rFonts w:eastAsia="Arial Unicode MS"/>
          <w:kern w:val="24"/>
        </w:rPr>
        <w:t xml:space="preserve">rates on </w:t>
      </w:r>
      <w:r w:rsidRPr="0099541F" w:rsidR="00660F37">
        <w:rPr>
          <w:rFonts w:eastAsia="Arial Unicode MS"/>
          <w:b/>
          <w:bCs/>
          <w:i/>
          <w:iCs/>
          <w:kern w:val="24"/>
        </w:rPr>
        <w:t xml:space="preserve">December </w:t>
      </w:r>
      <w:r w:rsidRPr="0099541F" w:rsidR="006A03B2">
        <w:rPr>
          <w:rFonts w:eastAsia="Arial Unicode MS"/>
          <w:b/>
          <w:bCs/>
          <w:i/>
          <w:iCs/>
          <w:kern w:val="24"/>
        </w:rPr>
        <w:t>17</w:t>
      </w:r>
      <w:r w:rsidRPr="000A2762" w:rsidR="00660F37">
        <w:rPr>
          <w:rFonts w:eastAsia="Arial Unicode MS"/>
          <w:b/>
          <w:bCs/>
          <w:i/>
          <w:iCs/>
          <w:kern w:val="24"/>
        </w:rPr>
        <w:t>, 202</w:t>
      </w:r>
      <w:r w:rsidRPr="000A2762" w:rsidR="006A03B2">
        <w:rPr>
          <w:rFonts w:eastAsia="Arial Unicode MS"/>
          <w:b/>
          <w:bCs/>
          <w:i/>
          <w:iCs/>
          <w:kern w:val="24"/>
        </w:rPr>
        <w:t>5</w:t>
      </w:r>
      <w:r w:rsidRPr="000A2762">
        <w:rPr>
          <w:rFonts w:eastAsia="Arial Unicode MS"/>
          <w:b/>
          <w:bCs/>
          <w:i/>
          <w:iCs/>
          <w:kern w:val="24"/>
        </w:rPr>
        <w:t xml:space="preserve"> beginning</w:t>
      </w:r>
      <w:r w:rsidRPr="00C8068A">
        <w:rPr>
          <w:rFonts w:eastAsia="Arial Unicode MS"/>
          <w:b/>
          <w:bCs/>
          <w:i/>
          <w:iCs/>
          <w:kern w:val="24"/>
        </w:rPr>
        <w:t xml:space="preserve"> at </w:t>
      </w:r>
      <w:r w:rsidRPr="00254B33">
        <w:rPr>
          <w:rFonts w:eastAsia="Arial Unicode MS"/>
          <w:b/>
          <w:bCs/>
          <w:i/>
          <w:iCs/>
          <w:kern w:val="24"/>
        </w:rPr>
        <w:t>8</w:t>
      </w:r>
      <w:r w:rsidRPr="00C8068A">
        <w:rPr>
          <w:rFonts w:eastAsia="Arial Unicode MS"/>
          <w:b/>
          <w:bCs/>
          <w:i/>
          <w:iCs/>
          <w:kern w:val="24"/>
        </w:rPr>
        <w:t>:</w:t>
      </w:r>
      <w:r w:rsidRPr="00254B33">
        <w:rPr>
          <w:rFonts w:eastAsia="Arial Unicode MS"/>
          <w:b/>
          <w:bCs/>
          <w:i/>
          <w:iCs/>
          <w:kern w:val="24"/>
        </w:rPr>
        <w:t>3</w:t>
      </w:r>
      <w:r w:rsidRPr="00C8068A">
        <w:rPr>
          <w:rFonts w:eastAsia="Arial Unicode MS"/>
          <w:b/>
          <w:bCs/>
          <w:i/>
          <w:iCs/>
          <w:kern w:val="24"/>
        </w:rPr>
        <w:t xml:space="preserve">0 </w:t>
      </w:r>
      <w:r w:rsidRPr="00254B33">
        <w:rPr>
          <w:rFonts w:eastAsia="Arial Unicode MS"/>
          <w:b/>
          <w:bCs/>
          <w:i/>
          <w:iCs/>
          <w:kern w:val="24"/>
        </w:rPr>
        <w:t>a</w:t>
      </w:r>
      <w:r w:rsidRPr="00C8068A">
        <w:rPr>
          <w:rFonts w:eastAsia="Arial Unicode MS"/>
          <w:b/>
          <w:bCs/>
          <w:i/>
          <w:iCs/>
          <w:kern w:val="24"/>
        </w:rPr>
        <w:t>.m</w:t>
      </w:r>
      <w:r w:rsidR="0025234A">
        <w:rPr>
          <w:rFonts w:eastAsia="Arial Unicode MS"/>
          <w:b/>
          <w:bCs/>
          <w:i/>
          <w:iCs/>
          <w:kern w:val="24"/>
        </w:rPr>
        <w:t>.</w:t>
      </w:r>
      <w:r w:rsidRPr="00254B33">
        <w:rPr>
          <w:rFonts w:eastAsia="Arial Unicode MS"/>
          <w:kern w:val="24"/>
        </w:rPr>
        <w:t xml:space="preserve"> at the Tranquillity Irrigation District office located at 25390 W. Silveira Street, Tranquillity, California 93668.</w:t>
      </w:r>
    </w:p>
    <w:sectPr w:rsidSect="00EA1561">
      <w:headerReference w:type="default" r:id="rId6"/>
      <w:footerReference w:type="default" r:id="rId7"/>
      <w:endnotePr>
        <w:numFmt w:val="decimal"/>
      </w:endnotePr>
      <w:pgSz w:w="12240" w:h="15840" w:code="1"/>
      <w:pgMar w:top="720" w:right="720" w:bottom="270" w:left="720" w:header="720" w:footer="432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1AC" w14:paraId="313F0B4F" w14:textId="5C2A0C92">
    <w:pPr>
      <w:pStyle w:val="Footer"/>
    </w:pPr>
    <w:r w:rsidRPr="0067720A">
      <w:rPr>
        <w:noProof/>
        <w:spacing w:val="-2"/>
        <w:sz w:val="16"/>
      </w:rPr>
      <w:t>3803405v3 / 19493.0001</w:t>
    </w:r>
    <w:r w:rsidRPr="000C51AC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62F" w:rsidP="00920A13" w14:paraId="2036ABCC" w14:textId="77777777">
    <w:pPr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TRANQUILLITY IRRIGATION DISTRICT</w:t>
    </w:r>
  </w:p>
  <w:p w:rsidR="00920A13" w:rsidP="00CD30CD" w14:paraId="6C696C00" w14:textId="77777777">
    <w:pPr>
      <w:jc w:val="center"/>
      <w:rPr>
        <w:rFonts w:ascii="Times New Roman" w:hAnsi="Times New Roman"/>
        <w:b/>
        <w:bCs/>
        <w:sz w:val="28"/>
        <w:szCs w:val="28"/>
        <w:u w:val="single"/>
      </w:rPr>
    </w:pPr>
  </w:p>
  <w:p w:rsidR="0007062F" w:rsidP="00CD30CD" w14:paraId="2361335D" w14:textId="77777777">
    <w:pPr>
      <w:jc w:val="center"/>
      <w:rPr>
        <w:rFonts w:ascii="Times New Roman" w:hAnsi="Times New Roman"/>
        <w:b/>
        <w:bCs/>
        <w:sz w:val="28"/>
        <w:szCs w:val="28"/>
        <w:u w:val="single"/>
      </w:rPr>
    </w:pPr>
    <w:r>
      <w:rPr>
        <w:rFonts w:ascii="Times New Roman" w:hAnsi="Times New Roman"/>
        <w:b/>
        <w:bCs/>
        <w:sz w:val="28"/>
        <w:szCs w:val="28"/>
        <w:u w:val="single"/>
      </w:rPr>
      <w:t xml:space="preserve">NOTICE OF PUBLIC HEARING </w:t>
    </w:r>
  </w:p>
  <w:p w:rsidR="00FC754B" w:rsidRPr="006830B7" w:rsidP="00920A13" w14:paraId="62FC37E5" w14:textId="7AC7B4EC">
    <w:pPr>
      <w:jc w:val="center"/>
      <w:rPr>
        <w:rFonts w:ascii="Times New Roman" w:eastAsia="Arial Unicode MS" w:hAnsi="Times New Roman"/>
        <w:b/>
        <w:bCs/>
        <w:kern w:val="24"/>
      </w:rPr>
    </w:pPr>
    <w:r>
      <w:rPr>
        <w:rFonts w:ascii="Times New Roman" w:hAnsi="Times New Roman"/>
        <w:b/>
        <w:bCs/>
      </w:rPr>
      <w:t xml:space="preserve">REGARDING </w:t>
    </w:r>
    <w:r w:rsidR="00C81DC9">
      <w:rPr>
        <w:rFonts w:ascii="Times New Roman" w:hAnsi="Times New Roman"/>
        <w:b/>
        <w:bCs/>
      </w:rPr>
      <w:t>PROPOSED AGRICULTURAL WATER RATE</w:t>
    </w:r>
    <w:r w:rsidR="002A7D3C">
      <w:rPr>
        <w:rFonts w:ascii="Times New Roman" w:hAnsi="Times New Roman"/>
        <w:b/>
        <w:bCs/>
      </w:rPr>
      <w:t xml:space="preserve"> INCREASES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D2776"/>
    <w:multiLevelType w:val="hybridMultilevel"/>
    <w:tmpl w:val="B83AF7B6"/>
    <w:lvl w:ilvl="0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970"/>
        </w:tabs>
        <w:ind w:left="297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4028A9"/>
    <w:multiLevelType w:val="hybridMultilevel"/>
    <w:tmpl w:val="37566854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F382E"/>
    <w:multiLevelType w:val="multilevel"/>
    <w:tmpl w:val="5610287A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C82021"/>
    <w:multiLevelType w:val="hybridMultilevel"/>
    <w:tmpl w:val="96EA2BC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4915792"/>
    <w:multiLevelType w:val="hybridMultilevel"/>
    <w:tmpl w:val="84CAB34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F581D19"/>
    <w:multiLevelType w:val="multilevel"/>
    <w:tmpl w:val="5610287A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A1"/>
    <w:rsid w:val="00011757"/>
    <w:rsid w:val="00053D1C"/>
    <w:rsid w:val="00057956"/>
    <w:rsid w:val="0007062F"/>
    <w:rsid w:val="00077E52"/>
    <w:rsid w:val="00091334"/>
    <w:rsid w:val="000A100C"/>
    <w:rsid w:val="000A2762"/>
    <w:rsid w:val="000C51AC"/>
    <w:rsid w:val="000D2236"/>
    <w:rsid w:val="000D3424"/>
    <w:rsid w:val="00110989"/>
    <w:rsid w:val="00143386"/>
    <w:rsid w:val="00150C00"/>
    <w:rsid w:val="001809E9"/>
    <w:rsid w:val="00192E6A"/>
    <w:rsid w:val="001D2296"/>
    <w:rsid w:val="001E1CF4"/>
    <w:rsid w:val="0025234A"/>
    <w:rsid w:val="00254B33"/>
    <w:rsid w:val="002744DA"/>
    <w:rsid w:val="002A7D3C"/>
    <w:rsid w:val="002C7AA1"/>
    <w:rsid w:val="002D5718"/>
    <w:rsid w:val="003008F2"/>
    <w:rsid w:val="003036C7"/>
    <w:rsid w:val="00351F81"/>
    <w:rsid w:val="00353CA2"/>
    <w:rsid w:val="003C4153"/>
    <w:rsid w:val="003D0035"/>
    <w:rsid w:val="003D2200"/>
    <w:rsid w:val="0043059D"/>
    <w:rsid w:val="0043785B"/>
    <w:rsid w:val="004545B2"/>
    <w:rsid w:val="00461677"/>
    <w:rsid w:val="00497413"/>
    <w:rsid w:val="005201C1"/>
    <w:rsid w:val="0053370B"/>
    <w:rsid w:val="00554EA1"/>
    <w:rsid w:val="005D2250"/>
    <w:rsid w:val="006116C8"/>
    <w:rsid w:val="00660F37"/>
    <w:rsid w:val="00665D66"/>
    <w:rsid w:val="0067720A"/>
    <w:rsid w:val="006830B7"/>
    <w:rsid w:val="006A03B2"/>
    <w:rsid w:val="006A42B9"/>
    <w:rsid w:val="006C0294"/>
    <w:rsid w:val="006C51D8"/>
    <w:rsid w:val="006D13D2"/>
    <w:rsid w:val="006D22E8"/>
    <w:rsid w:val="006F3F9B"/>
    <w:rsid w:val="006F4FD5"/>
    <w:rsid w:val="00701F1A"/>
    <w:rsid w:val="007353C3"/>
    <w:rsid w:val="00752BAA"/>
    <w:rsid w:val="00790240"/>
    <w:rsid w:val="007E1C0A"/>
    <w:rsid w:val="007E2BAA"/>
    <w:rsid w:val="007F0919"/>
    <w:rsid w:val="00842C59"/>
    <w:rsid w:val="008502E6"/>
    <w:rsid w:val="008612CE"/>
    <w:rsid w:val="008C329C"/>
    <w:rsid w:val="008F1ACD"/>
    <w:rsid w:val="008F7C4F"/>
    <w:rsid w:val="00903092"/>
    <w:rsid w:val="009102A4"/>
    <w:rsid w:val="009106CE"/>
    <w:rsid w:val="00920A13"/>
    <w:rsid w:val="00922C24"/>
    <w:rsid w:val="009304F5"/>
    <w:rsid w:val="009344C8"/>
    <w:rsid w:val="0099541F"/>
    <w:rsid w:val="009F2189"/>
    <w:rsid w:val="00A05B32"/>
    <w:rsid w:val="00A849EB"/>
    <w:rsid w:val="00A858D2"/>
    <w:rsid w:val="00A90131"/>
    <w:rsid w:val="00AA1F54"/>
    <w:rsid w:val="00AD45F0"/>
    <w:rsid w:val="00B41872"/>
    <w:rsid w:val="00B55C9E"/>
    <w:rsid w:val="00B75244"/>
    <w:rsid w:val="00B8239F"/>
    <w:rsid w:val="00B83F10"/>
    <w:rsid w:val="00BA3B27"/>
    <w:rsid w:val="00BB02FA"/>
    <w:rsid w:val="00BC7427"/>
    <w:rsid w:val="00C23C32"/>
    <w:rsid w:val="00C23C78"/>
    <w:rsid w:val="00C8068A"/>
    <w:rsid w:val="00C81DC9"/>
    <w:rsid w:val="00C92F4D"/>
    <w:rsid w:val="00CD30CD"/>
    <w:rsid w:val="00CF4C98"/>
    <w:rsid w:val="00D33739"/>
    <w:rsid w:val="00D71245"/>
    <w:rsid w:val="00DC58D4"/>
    <w:rsid w:val="00DF7D89"/>
    <w:rsid w:val="00E871F2"/>
    <w:rsid w:val="00EA1561"/>
    <w:rsid w:val="00EA765C"/>
    <w:rsid w:val="00EB2376"/>
    <w:rsid w:val="00EB7D89"/>
    <w:rsid w:val="00ED02B7"/>
    <w:rsid w:val="00F14E3D"/>
    <w:rsid w:val="00F16911"/>
    <w:rsid w:val="00F2045F"/>
    <w:rsid w:val="00F24FC8"/>
    <w:rsid w:val="00F36929"/>
    <w:rsid w:val="00F4219B"/>
    <w:rsid w:val="00F44DF0"/>
    <w:rsid w:val="00F4503A"/>
    <w:rsid w:val="00F72DA5"/>
    <w:rsid w:val="00FC6F14"/>
    <w:rsid w:val="00FC754B"/>
    <w:rsid w:val="00FF5BA6"/>
    <w:rsid w:val="00FF7A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F378121"/>
  <w15:docId w15:val="{024912DA-39B4-4068-8569-B6BB8943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5B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D7062"/>
  </w:style>
  <w:style w:type="paragraph" w:styleId="BodyTextIndent">
    <w:name w:val="Body Text Indent"/>
    <w:basedOn w:val="Normal"/>
    <w:rsid w:val="000D7062"/>
    <w:pPr>
      <w:ind w:firstLine="720"/>
      <w:jc w:val="both"/>
    </w:pPr>
  </w:style>
  <w:style w:type="paragraph" w:styleId="Header">
    <w:name w:val="header"/>
    <w:basedOn w:val="Normal"/>
    <w:rsid w:val="000D70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D70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706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232D9"/>
  </w:style>
  <w:style w:type="paragraph" w:customStyle="1" w:styleId="Style1">
    <w:name w:val="Style 1"/>
    <w:basedOn w:val="Normal"/>
    <w:rsid w:val="000D7062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74D2A"/>
    <w:pPr>
      <w:ind w:left="720"/>
    </w:pPr>
  </w:style>
  <w:style w:type="character" w:styleId="CommentReference">
    <w:name w:val="annotation reference"/>
    <w:rsid w:val="00A25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9EC"/>
    <w:rPr>
      <w:sz w:val="20"/>
      <w:szCs w:val="20"/>
    </w:rPr>
  </w:style>
  <w:style w:type="character" w:customStyle="1" w:styleId="CommentTextChar">
    <w:name w:val="Comment Text Char"/>
    <w:link w:val="CommentText"/>
    <w:rsid w:val="00A259EC"/>
    <w:rPr>
      <w:rFonts w:ascii="Shruti" w:hAnsi="Shruti"/>
    </w:rPr>
  </w:style>
  <w:style w:type="paragraph" w:styleId="CommentSubject">
    <w:name w:val="annotation subject"/>
    <w:basedOn w:val="CommentText"/>
    <w:next w:val="CommentText"/>
    <w:link w:val="CommentSubjectChar"/>
    <w:rsid w:val="00A259EC"/>
    <w:rPr>
      <w:b/>
      <w:bCs/>
    </w:rPr>
  </w:style>
  <w:style w:type="character" w:customStyle="1" w:styleId="CommentSubjectChar">
    <w:name w:val="Comment Subject Char"/>
    <w:link w:val="CommentSubject"/>
    <w:rsid w:val="00A259EC"/>
    <w:rPr>
      <w:rFonts w:ascii="Shruti" w:hAnsi="Shruti"/>
      <w:b/>
      <w:bCs/>
    </w:rPr>
  </w:style>
  <w:style w:type="paragraph" w:styleId="Revision">
    <w:name w:val="Revision"/>
    <w:hidden/>
    <w:uiPriority w:val="99"/>
    <w:semiHidden/>
    <w:rsid w:val="00A259EC"/>
    <w:rPr>
      <w:rFonts w:ascii="Shruti" w:hAnsi="Shruti"/>
      <w:sz w:val="24"/>
      <w:szCs w:val="24"/>
    </w:rPr>
  </w:style>
  <w:style w:type="table" w:styleId="TableGrid">
    <w:name w:val="Table Grid"/>
    <w:basedOn w:val="TableNormal"/>
    <w:uiPriority w:val="39"/>
    <w:rsid w:val="005658DE"/>
    <w:rPr>
      <w:rFonts w:ascii="Arial" w:eastAsia="Arial" w:hAnsi="Arial"/>
      <w:sz w:val="24"/>
      <w:szCs w:val="24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F4EE2"/>
    <w:rPr>
      <w:rFonts w:ascii="Shruti" w:hAnsi="Shruti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C7427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nhideWhenUsed/>
    <w:rsid w:val="003C415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rsid w:val="003C41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3059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rsid w:val="000A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www.imanage.com/work/xmlschema">
  <documentid>DMS!3803405.3</documentid>
  <senderid>LDL</senderid>
  <senderemail>LLAYNE@BAKERMANOCK.COM</senderemail>
  <lastmodified>2025-10-21T09:02:00.0000000-07:00</lastmodified>
  <database>DMS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95AD-B5ED-4ED5-A1D4-F944F30982D9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6219FDC-2EFD-4391-8004-CC329216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2025-10-21T16:23:26Z</dcterms:created>
  <dcterms:modified xsi:type="dcterms:W3CDTF">2025-10-21T16:23:26Z</dcterms:modified>
</cp:coreProperties>
</file>