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EB6A" w14:textId="77777777" w:rsidR="008375D2" w:rsidRPr="00C47131" w:rsidRDefault="008375D2" w:rsidP="00235822">
      <w:pPr>
        <w:pStyle w:val="Header"/>
      </w:pPr>
    </w:p>
    <w:p w14:paraId="26FC16A1" w14:textId="77777777" w:rsidR="00564FB1" w:rsidRPr="00C47131" w:rsidRDefault="00564FB1" w:rsidP="00235822">
      <w:pPr>
        <w:pStyle w:val="Header"/>
      </w:pPr>
    </w:p>
    <w:p w14:paraId="2FFCDF27" w14:textId="77777777" w:rsidR="00881305" w:rsidRPr="00C47131" w:rsidRDefault="00881305" w:rsidP="00235822">
      <w:pPr>
        <w:pStyle w:val="Header"/>
      </w:pPr>
    </w:p>
    <w:p w14:paraId="3132711D" w14:textId="77777777" w:rsidR="00881305" w:rsidRPr="00C47131" w:rsidRDefault="00881305" w:rsidP="00235822">
      <w:pPr>
        <w:pStyle w:val="Header"/>
      </w:pPr>
    </w:p>
    <w:p w14:paraId="772A2B4A" w14:textId="77777777" w:rsidR="00881305" w:rsidRPr="00C47131" w:rsidRDefault="00881305" w:rsidP="00235822">
      <w:pPr>
        <w:pStyle w:val="Header"/>
      </w:pPr>
    </w:p>
    <w:p w14:paraId="27CBBA35" w14:textId="3AB23A7D" w:rsidR="00881305" w:rsidRPr="00C47131" w:rsidRDefault="007E5FD8" w:rsidP="00235822">
      <w:pPr>
        <w:pStyle w:val="Header"/>
      </w:pPr>
      <w:r>
        <w:rPr>
          <w:noProof/>
        </w:rPr>
        <w:drawing>
          <wp:anchor distT="0" distB="0" distL="114300" distR="114300" simplePos="0" relativeHeight="251661312" behindDoc="0" locked="0" layoutInCell="1" allowOverlap="1" wp14:anchorId="627AAA65" wp14:editId="16E7CE7E">
            <wp:simplePos x="0" y="0"/>
            <wp:positionH relativeFrom="column">
              <wp:posOffset>0</wp:posOffset>
            </wp:positionH>
            <wp:positionV relativeFrom="paragraph">
              <wp:posOffset>0</wp:posOffset>
            </wp:positionV>
            <wp:extent cx="1857375" cy="1857375"/>
            <wp:effectExtent l="0" t="0" r="9525" b="952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quillityID_Logo_large_rev_3_hif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page">
              <wp14:pctWidth>0</wp14:pctWidth>
            </wp14:sizeRelH>
            <wp14:sizeRelV relativeFrom="page">
              <wp14:pctHeight>0</wp14:pctHeight>
            </wp14:sizeRelV>
          </wp:anchor>
        </w:drawing>
      </w:r>
    </w:p>
    <w:p w14:paraId="4DB354B3" w14:textId="77777777" w:rsidR="00881305" w:rsidRPr="00C47131" w:rsidRDefault="00881305" w:rsidP="00235822">
      <w:pPr>
        <w:pStyle w:val="Header"/>
      </w:pPr>
    </w:p>
    <w:p w14:paraId="73C541DF" w14:textId="77777777" w:rsidR="00881305" w:rsidRPr="00C47131" w:rsidRDefault="00881305" w:rsidP="00235822">
      <w:pPr>
        <w:pStyle w:val="Header"/>
      </w:pPr>
    </w:p>
    <w:p w14:paraId="717D08F6" w14:textId="77777777" w:rsidR="00564FB1" w:rsidRPr="00C47131" w:rsidRDefault="00564FB1" w:rsidP="00235822">
      <w:pPr>
        <w:pStyle w:val="Header"/>
      </w:pPr>
    </w:p>
    <w:p w14:paraId="64CDB66F" w14:textId="77777777" w:rsidR="00564FB1" w:rsidRPr="00C47131" w:rsidRDefault="00564FB1" w:rsidP="00235822">
      <w:pPr>
        <w:pStyle w:val="Header"/>
      </w:pPr>
    </w:p>
    <w:p w14:paraId="42DC9DE9" w14:textId="77777777" w:rsidR="00564FB1" w:rsidRDefault="00564FB1" w:rsidP="00235822">
      <w:pPr>
        <w:pStyle w:val="Header"/>
      </w:pPr>
    </w:p>
    <w:p w14:paraId="084BA8EE" w14:textId="77777777" w:rsidR="007E5FD8" w:rsidRDefault="007E5FD8" w:rsidP="00235822">
      <w:pPr>
        <w:pStyle w:val="Header"/>
      </w:pPr>
    </w:p>
    <w:p w14:paraId="23FFFE67" w14:textId="77777777" w:rsidR="007E5FD8" w:rsidRDefault="007E5FD8" w:rsidP="00235822">
      <w:pPr>
        <w:pStyle w:val="Header"/>
      </w:pPr>
    </w:p>
    <w:p w14:paraId="67147E0F" w14:textId="77777777" w:rsidR="007E5FD8" w:rsidRDefault="007E5FD8" w:rsidP="00235822">
      <w:pPr>
        <w:pStyle w:val="Header"/>
      </w:pPr>
    </w:p>
    <w:p w14:paraId="416F3426" w14:textId="77777777" w:rsidR="007E5FD8" w:rsidRDefault="007E5FD8" w:rsidP="00235822">
      <w:pPr>
        <w:pStyle w:val="Header"/>
      </w:pPr>
    </w:p>
    <w:p w14:paraId="749A1CBE" w14:textId="77777777" w:rsidR="007E5FD8" w:rsidRDefault="007E5FD8" w:rsidP="00235822">
      <w:pPr>
        <w:pStyle w:val="Header"/>
      </w:pPr>
    </w:p>
    <w:p w14:paraId="58E25294" w14:textId="77777777" w:rsidR="007E5FD8" w:rsidRDefault="007E5FD8" w:rsidP="00235822">
      <w:pPr>
        <w:pStyle w:val="Header"/>
      </w:pPr>
    </w:p>
    <w:p w14:paraId="3843978F" w14:textId="77777777" w:rsidR="007E5FD8" w:rsidRDefault="007E5FD8" w:rsidP="00235822">
      <w:pPr>
        <w:pStyle w:val="Header"/>
      </w:pPr>
    </w:p>
    <w:p w14:paraId="489BBDBA" w14:textId="77777777" w:rsidR="007E5FD8" w:rsidRDefault="007E5FD8" w:rsidP="00235822">
      <w:pPr>
        <w:pStyle w:val="Header"/>
      </w:pPr>
    </w:p>
    <w:p w14:paraId="072505AE" w14:textId="77777777" w:rsidR="007E5FD8" w:rsidRPr="00C47131" w:rsidRDefault="007E5FD8" w:rsidP="00235822">
      <w:pPr>
        <w:pStyle w:val="Header"/>
      </w:pPr>
    </w:p>
    <w:p w14:paraId="24A2C877" w14:textId="77777777" w:rsidR="008375D2" w:rsidRPr="00C47131" w:rsidRDefault="008375D2" w:rsidP="00235822">
      <w:pPr>
        <w:pStyle w:val="Header"/>
      </w:pPr>
    </w:p>
    <w:p w14:paraId="2A72B88F" w14:textId="321C933B" w:rsidR="008375D2" w:rsidRDefault="008375D2" w:rsidP="000F5F20">
      <w:pPr>
        <w:pStyle w:val="Title"/>
      </w:pPr>
    </w:p>
    <w:p w14:paraId="185D7B20" w14:textId="2D19FEBD" w:rsidR="007C0EA3" w:rsidRPr="00381FD5" w:rsidRDefault="00284F30" w:rsidP="007C0EA3">
      <w:pPr>
        <w:rPr>
          <w:rFonts w:asciiTheme="majorHAnsi" w:eastAsiaTheme="majorEastAsia" w:hAnsiTheme="majorHAnsi" w:cstheme="majorBidi"/>
          <w:b/>
          <w:bCs/>
          <w:iCs/>
          <w:caps/>
          <w:color w:val="27406D"/>
          <w:sz w:val="36"/>
          <w:szCs w:val="36"/>
        </w:rPr>
      </w:pPr>
      <w:r w:rsidRPr="007C0EA3">
        <w:rPr>
          <w:rFonts w:asciiTheme="majorHAnsi" w:eastAsiaTheme="majorEastAsia" w:hAnsiTheme="majorHAnsi" w:cstheme="majorBidi"/>
          <w:b/>
          <w:bCs/>
          <w:iCs/>
          <w:caps/>
          <w:color w:val="27406D"/>
          <w:sz w:val="36"/>
          <w:szCs w:val="36"/>
        </w:rPr>
        <w:t>fee study for</w:t>
      </w:r>
      <w:r w:rsidR="007C0EA3" w:rsidRPr="003D0AAC">
        <w:rPr>
          <w:rFonts w:asciiTheme="majorHAnsi" w:eastAsiaTheme="majorEastAsia" w:hAnsiTheme="majorHAnsi" w:cstheme="majorBidi"/>
          <w:b/>
          <w:bCs/>
          <w:iCs/>
          <w:caps/>
          <w:color w:val="27406D"/>
          <w:sz w:val="36"/>
          <w:szCs w:val="36"/>
        </w:rPr>
        <w:t xml:space="preserve"> </w:t>
      </w:r>
      <w:r w:rsidR="007C0EA3" w:rsidRPr="007C0EA3">
        <w:rPr>
          <w:rFonts w:asciiTheme="majorHAnsi" w:eastAsiaTheme="majorEastAsia" w:hAnsiTheme="majorHAnsi" w:cstheme="majorBidi"/>
          <w:b/>
          <w:bCs/>
          <w:iCs/>
          <w:caps/>
          <w:color w:val="27406D"/>
          <w:sz w:val="36"/>
          <w:szCs w:val="36"/>
        </w:rPr>
        <w:t>Proposed</w:t>
      </w:r>
    </w:p>
    <w:p w14:paraId="4399D8D8" w14:textId="4C080B97" w:rsidR="00284F30" w:rsidRDefault="00D13CF0" w:rsidP="007C0EA3">
      <w:pPr>
        <w:rPr>
          <w:rFonts w:asciiTheme="majorHAnsi" w:eastAsiaTheme="majorEastAsia" w:hAnsiTheme="majorHAnsi" w:cstheme="majorBidi"/>
          <w:b/>
          <w:bCs/>
          <w:iCs/>
          <w:caps/>
          <w:color w:val="27406D"/>
          <w:sz w:val="32"/>
          <w:szCs w:val="28"/>
        </w:rPr>
      </w:pPr>
      <w:r>
        <w:rPr>
          <w:rFonts w:asciiTheme="majorHAnsi" w:eastAsiaTheme="majorEastAsia" w:hAnsiTheme="majorHAnsi" w:cstheme="majorBidi"/>
          <w:b/>
          <w:bCs/>
          <w:iCs/>
          <w:caps/>
          <w:color w:val="27406D"/>
          <w:sz w:val="36"/>
          <w:szCs w:val="36"/>
        </w:rPr>
        <w:t>agricultural water rate</w:t>
      </w:r>
      <w:r w:rsidR="007C0EA3" w:rsidRPr="00381FD5">
        <w:rPr>
          <w:rFonts w:asciiTheme="majorHAnsi" w:eastAsiaTheme="majorEastAsia" w:hAnsiTheme="majorHAnsi" w:cstheme="majorBidi"/>
          <w:b/>
          <w:bCs/>
          <w:iCs/>
          <w:caps/>
          <w:color w:val="27406D"/>
          <w:sz w:val="36"/>
          <w:szCs w:val="36"/>
        </w:rPr>
        <w:t xml:space="preserve"> increases</w:t>
      </w:r>
    </w:p>
    <w:p w14:paraId="3984BCA6" w14:textId="77777777" w:rsidR="007C0EA3" w:rsidRPr="00284F30" w:rsidRDefault="007C0EA3" w:rsidP="007C0EA3">
      <w:pPr>
        <w:rPr>
          <w:rFonts w:asciiTheme="majorHAnsi" w:eastAsiaTheme="majorEastAsia" w:hAnsiTheme="majorHAnsi" w:cstheme="majorBidi"/>
          <w:b/>
          <w:bCs/>
          <w:iCs/>
          <w:caps/>
          <w:color w:val="27406D"/>
          <w:sz w:val="36"/>
          <w:szCs w:val="36"/>
        </w:rPr>
      </w:pPr>
    </w:p>
    <w:p w14:paraId="29475D61" w14:textId="0B96F9DE" w:rsidR="00284F30" w:rsidRPr="00284F30" w:rsidRDefault="00284F30" w:rsidP="00284F30">
      <w:pPr>
        <w:rPr>
          <w:rFonts w:asciiTheme="majorHAnsi" w:eastAsiaTheme="majorEastAsia" w:hAnsiTheme="majorHAnsi" w:cstheme="majorBidi"/>
          <w:b/>
          <w:bCs/>
          <w:iCs/>
          <w:caps/>
          <w:color w:val="27406D"/>
          <w:sz w:val="36"/>
          <w:szCs w:val="36"/>
        </w:rPr>
      </w:pPr>
      <w:r w:rsidRPr="00284F30">
        <w:rPr>
          <w:rFonts w:asciiTheme="majorHAnsi" w:eastAsiaTheme="majorEastAsia" w:hAnsiTheme="majorHAnsi" w:cstheme="majorBidi"/>
          <w:b/>
          <w:bCs/>
          <w:iCs/>
          <w:caps/>
          <w:color w:val="27406D"/>
          <w:sz w:val="36"/>
          <w:szCs w:val="36"/>
        </w:rPr>
        <w:t>tranquillity irrigation district</w:t>
      </w:r>
    </w:p>
    <w:p w14:paraId="26EA1428" w14:textId="77777777" w:rsidR="00284F30" w:rsidRDefault="00284F30" w:rsidP="00284F30">
      <w:pPr>
        <w:rPr>
          <w:rFonts w:asciiTheme="majorHAnsi" w:eastAsiaTheme="majorEastAsia" w:hAnsiTheme="majorHAnsi" w:cstheme="majorBidi"/>
          <w:b/>
          <w:bCs/>
          <w:iCs/>
          <w:caps/>
          <w:color w:val="27406D"/>
          <w:sz w:val="32"/>
          <w:szCs w:val="28"/>
        </w:rPr>
      </w:pPr>
    </w:p>
    <w:p w14:paraId="7606DCCF" w14:textId="27D5A1A1" w:rsidR="00284F30" w:rsidRPr="00284F30" w:rsidRDefault="00284F30" w:rsidP="007C0EA3">
      <w:pPr>
        <w:rPr>
          <w:rFonts w:asciiTheme="majorHAnsi" w:eastAsiaTheme="majorEastAsia" w:hAnsiTheme="majorHAnsi" w:cstheme="majorBidi"/>
          <w:b/>
          <w:bCs/>
          <w:iCs/>
          <w:caps/>
          <w:color w:val="27406D"/>
          <w:sz w:val="32"/>
          <w:szCs w:val="28"/>
        </w:rPr>
      </w:pPr>
    </w:p>
    <w:p w14:paraId="0E1F2171" w14:textId="77777777" w:rsidR="008375D2" w:rsidRPr="00C47131" w:rsidRDefault="008375D2" w:rsidP="00235822">
      <w:pPr>
        <w:pStyle w:val="Header"/>
      </w:pPr>
    </w:p>
    <w:p w14:paraId="5B529735" w14:textId="77777777" w:rsidR="00271C1E" w:rsidRPr="00C47131" w:rsidRDefault="00271C1E" w:rsidP="00235822">
      <w:pPr>
        <w:pStyle w:val="Header"/>
      </w:pPr>
    </w:p>
    <w:p w14:paraId="26054CDD" w14:textId="77777777" w:rsidR="00284F30" w:rsidRDefault="00284F30" w:rsidP="0036069F">
      <w:pPr>
        <w:pStyle w:val="Subtitle"/>
        <w:rPr>
          <w:bCs/>
        </w:rPr>
      </w:pPr>
    </w:p>
    <w:p w14:paraId="0A7FBE13" w14:textId="4FF0F423" w:rsidR="008375D2" w:rsidRPr="00C47131" w:rsidRDefault="00F47FE2" w:rsidP="0036069F">
      <w:pPr>
        <w:pStyle w:val="Subtitle"/>
        <w:rPr>
          <w:bCs/>
          <w:color w:val="27406D"/>
        </w:rPr>
      </w:pPr>
      <w:r w:rsidRPr="00C47131">
        <w:rPr>
          <w:bCs/>
          <w:color w:val="27406D"/>
        </w:rPr>
        <w:br/>
      </w:r>
      <w:r w:rsidR="006B24DD">
        <w:rPr>
          <w:bCs/>
          <w:color w:val="27406D"/>
        </w:rPr>
        <w:t>October</w:t>
      </w:r>
      <w:r w:rsidR="00037CA1">
        <w:rPr>
          <w:bCs/>
          <w:color w:val="27406D"/>
        </w:rPr>
        <w:t xml:space="preserve"> 15,</w:t>
      </w:r>
      <w:r w:rsidR="006B24DD">
        <w:rPr>
          <w:bCs/>
          <w:color w:val="27406D"/>
        </w:rPr>
        <w:t xml:space="preserve"> 2025</w:t>
      </w:r>
    </w:p>
    <w:p w14:paraId="61AB8F01" w14:textId="77777777" w:rsidR="008375D2" w:rsidRPr="00C47131" w:rsidRDefault="008375D2" w:rsidP="00235822">
      <w:pPr>
        <w:pStyle w:val="Header"/>
      </w:pPr>
    </w:p>
    <w:p w14:paraId="0D9A0ABC" w14:textId="77777777" w:rsidR="008375D2" w:rsidRPr="00C47131" w:rsidRDefault="008375D2" w:rsidP="00235822">
      <w:pPr>
        <w:pStyle w:val="Header"/>
      </w:pPr>
    </w:p>
    <w:p w14:paraId="699A7AF4" w14:textId="77777777" w:rsidR="00C808AD" w:rsidRPr="00C47131" w:rsidRDefault="00C808AD" w:rsidP="00235822">
      <w:pPr>
        <w:pStyle w:val="Header"/>
      </w:pPr>
    </w:p>
    <w:p w14:paraId="5D71BE7A" w14:textId="77777777" w:rsidR="00C808AD" w:rsidRPr="00C47131" w:rsidRDefault="00C808AD" w:rsidP="00235822">
      <w:pPr>
        <w:pStyle w:val="Header"/>
      </w:pPr>
    </w:p>
    <w:p w14:paraId="6FA54741" w14:textId="77777777" w:rsidR="00C808AD" w:rsidRPr="00C47131" w:rsidRDefault="00C808AD" w:rsidP="00235822">
      <w:pPr>
        <w:pStyle w:val="Header"/>
      </w:pPr>
    </w:p>
    <w:p w14:paraId="32AB68E6" w14:textId="77777777" w:rsidR="00C808AD" w:rsidRPr="00C47131" w:rsidRDefault="00C808AD" w:rsidP="00235822">
      <w:pPr>
        <w:pStyle w:val="Header"/>
      </w:pPr>
    </w:p>
    <w:p w14:paraId="6A4AF06B" w14:textId="77777777" w:rsidR="00C808AD" w:rsidRDefault="00C808AD" w:rsidP="00235822">
      <w:pPr>
        <w:pStyle w:val="Header"/>
      </w:pPr>
    </w:p>
    <w:p w14:paraId="7ADD2383" w14:textId="77777777" w:rsidR="00284F30" w:rsidRDefault="00284F30" w:rsidP="00235822">
      <w:pPr>
        <w:pStyle w:val="Header"/>
      </w:pPr>
    </w:p>
    <w:p w14:paraId="246920AC" w14:textId="77777777" w:rsidR="00284F30" w:rsidRDefault="00284F30" w:rsidP="00235822">
      <w:pPr>
        <w:pStyle w:val="Header"/>
      </w:pPr>
    </w:p>
    <w:p w14:paraId="43374DED" w14:textId="77777777" w:rsidR="00284F30" w:rsidRDefault="00284F30" w:rsidP="00235822">
      <w:pPr>
        <w:pStyle w:val="Header"/>
      </w:pPr>
    </w:p>
    <w:p w14:paraId="149EA6F4" w14:textId="77777777" w:rsidR="00284F30" w:rsidRPr="00C47131" w:rsidRDefault="00284F30" w:rsidP="00235822">
      <w:pPr>
        <w:pStyle w:val="Header"/>
      </w:pPr>
    </w:p>
    <w:p w14:paraId="57F62331" w14:textId="77777777" w:rsidR="00C808AD" w:rsidRPr="00C47131" w:rsidRDefault="00C808AD" w:rsidP="00235822">
      <w:pPr>
        <w:pStyle w:val="Header"/>
      </w:pPr>
    </w:p>
    <w:p w14:paraId="18B10557" w14:textId="77777777" w:rsidR="008375D2" w:rsidRPr="00C47131" w:rsidRDefault="00034D53" w:rsidP="00B85BDE">
      <w:pPr>
        <w:pStyle w:val="Heading6"/>
      </w:pPr>
      <w:r w:rsidRPr="00C47131">
        <w:t>PREPARED FOR:</w:t>
      </w:r>
    </w:p>
    <w:sdt>
      <w:sdtPr>
        <w:rPr>
          <w:b w:val="0"/>
          <w:bCs/>
        </w:rPr>
        <w:alias w:val="Company"/>
        <w:tag w:val=""/>
        <w:id w:val="79876544"/>
        <w:placeholder>
          <w:docPart w:val="00C784F6EADD480EB0798894471E9948"/>
        </w:placeholder>
        <w:dataBinding w:prefixMappings="xmlns:ns0='http://schemas.openxmlformats.org/officeDocument/2006/extended-properties' " w:xpath="/ns0:Properties[1]/ns0:Company[1]" w:storeItemID="{6668398D-A668-4E3E-A5EB-62B293D839F1}"/>
        <w:text/>
      </w:sdtPr>
      <w:sdtContent>
        <w:p w14:paraId="5A269BB8" w14:textId="2577A30D" w:rsidR="008375D2" w:rsidRPr="00B04F2A" w:rsidRDefault="00284F30" w:rsidP="00B85BDE">
          <w:pPr>
            <w:pStyle w:val="Heading6"/>
            <w:rPr>
              <w:b w:val="0"/>
              <w:bCs/>
            </w:rPr>
          </w:pPr>
          <w:r>
            <w:rPr>
              <w:b w:val="0"/>
              <w:bCs/>
            </w:rPr>
            <w:t>Tranquillity Irrigation District</w:t>
          </w:r>
        </w:p>
      </w:sdtContent>
    </w:sdt>
    <w:p w14:paraId="65B9E476" w14:textId="4A3609C4" w:rsidR="008375D2" w:rsidRDefault="00284F30" w:rsidP="00B85BDE">
      <w:pPr>
        <w:pStyle w:val="Heading6"/>
        <w:rPr>
          <w:b w:val="0"/>
          <w:bCs/>
        </w:rPr>
      </w:pPr>
      <w:r w:rsidRPr="00284F30">
        <w:rPr>
          <w:b w:val="0"/>
          <w:bCs/>
        </w:rPr>
        <w:t>P.O. Box 487, Tranquillity, CA 93668</w:t>
      </w:r>
    </w:p>
    <w:p w14:paraId="1E2F5AB2" w14:textId="77777777" w:rsidR="00284F30" w:rsidRPr="00284F30" w:rsidRDefault="00284F30" w:rsidP="00284F30"/>
    <w:p w14:paraId="277E6EEA" w14:textId="77777777" w:rsidR="008375D2" w:rsidRPr="00D36DCF" w:rsidRDefault="00034D53" w:rsidP="00B85BDE">
      <w:pPr>
        <w:pStyle w:val="Heading6"/>
      </w:pPr>
      <w:r w:rsidRPr="00D36DCF">
        <w:t>PREPARED BY:</w:t>
      </w:r>
    </w:p>
    <w:p w14:paraId="3871DE00" w14:textId="77777777" w:rsidR="008375D2" w:rsidRDefault="00034D53" w:rsidP="00B85BDE">
      <w:pPr>
        <w:pStyle w:val="Heading6"/>
        <w:rPr>
          <w:b w:val="0"/>
          <w:bCs/>
        </w:rPr>
      </w:pPr>
      <w:r w:rsidRPr="00B04F2A">
        <w:rPr>
          <w:b w:val="0"/>
          <w:bCs/>
        </w:rPr>
        <w:t>PROVOST &amp; PRITCHARD CONSULTING GROUP</w:t>
      </w:r>
    </w:p>
    <w:p w14:paraId="035E7B6C" w14:textId="36EC1A24" w:rsidR="00F01DD4" w:rsidRDefault="005D69A2" w:rsidP="00F01DD4">
      <w:pPr>
        <w:pStyle w:val="Heading6"/>
        <w:rPr>
          <w:b w:val="0"/>
          <w:bCs/>
        </w:rPr>
      </w:pPr>
      <w:r>
        <w:rPr>
          <w:b w:val="0"/>
          <w:bCs/>
        </w:rPr>
        <w:t xml:space="preserve">455 W. FIR </w:t>
      </w:r>
      <w:r w:rsidR="00B07132">
        <w:rPr>
          <w:b w:val="0"/>
          <w:bCs/>
        </w:rPr>
        <w:t>AVE,</w:t>
      </w:r>
      <w:r w:rsidR="00F01DD4" w:rsidRPr="005D69A2">
        <w:rPr>
          <w:b w:val="0"/>
          <w:bCs/>
        </w:rPr>
        <w:t xml:space="preserve"> </w:t>
      </w:r>
      <w:r>
        <w:rPr>
          <w:b w:val="0"/>
          <w:bCs/>
        </w:rPr>
        <w:t>CLOVIS</w:t>
      </w:r>
      <w:r w:rsidR="00F01DD4" w:rsidRPr="005D69A2">
        <w:rPr>
          <w:b w:val="0"/>
          <w:bCs/>
        </w:rPr>
        <w:t>, CALIFORNIA 93</w:t>
      </w:r>
      <w:r>
        <w:rPr>
          <w:b w:val="0"/>
          <w:bCs/>
        </w:rPr>
        <w:t>611</w:t>
      </w:r>
    </w:p>
    <w:p w14:paraId="31BF017F" w14:textId="77777777" w:rsidR="002B5DCB" w:rsidRPr="002B5DCB" w:rsidRDefault="002B5DCB" w:rsidP="002B5DCB"/>
    <w:p w14:paraId="5AB19468" w14:textId="77777777" w:rsidR="00F01DD4" w:rsidRPr="00F01DD4" w:rsidRDefault="00F01DD4" w:rsidP="00F01DD4">
      <w:r>
        <w:rPr>
          <w:noProof/>
        </w:rPr>
        <w:drawing>
          <wp:anchor distT="0" distB="0" distL="114300" distR="114300" simplePos="0" relativeHeight="251659264" behindDoc="1" locked="0" layoutInCell="1" allowOverlap="1" wp14:anchorId="5EAB569F" wp14:editId="6E26E95A">
            <wp:simplePos x="0" y="0"/>
            <wp:positionH relativeFrom="column">
              <wp:posOffset>-7620</wp:posOffset>
            </wp:positionH>
            <wp:positionV relativeFrom="paragraph">
              <wp:posOffset>113361</wp:posOffset>
            </wp:positionV>
            <wp:extent cx="1892300" cy="554355"/>
            <wp:effectExtent l="0" t="0" r="0" b="0"/>
            <wp:wrapTight wrapText="bothSides">
              <wp:wrapPolygon edited="0">
                <wp:start x="0" y="0"/>
                <wp:lineTo x="0" y="20784"/>
                <wp:lineTo x="21093" y="20784"/>
                <wp:lineTo x="21310" y="19299"/>
                <wp:lineTo x="21310" y="12619"/>
                <wp:lineTo x="20875" y="4454"/>
                <wp:lineTo x="20223" y="0"/>
                <wp:lineTo x="0" y="0"/>
              </wp:wrapPolygon>
            </wp:wrapTight>
            <wp:docPr id="51659606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96066" name="Picture 2"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2300" cy="554355"/>
                    </a:xfrm>
                    <a:prstGeom prst="rect">
                      <a:avLst/>
                    </a:prstGeom>
                  </pic:spPr>
                </pic:pic>
              </a:graphicData>
            </a:graphic>
            <wp14:sizeRelH relativeFrom="page">
              <wp14:pctWidth>0</wp14:pctWidth>
            </wp14:sizeRelH>
            <wp14:sizeRelV relativeFrom="page">
              <wp14:pctHeight>0</wp14:pctHeight>
            </wp14:sizeRelV>
          </wp:anchor>
        </w:drawing>
      </w:r>
    </w:p>
    <w:p w14:paraId="69974022" w14:textId="77777777" w:rsidR="00F01DD4" w:rsidRPr="00F01DD4" w:rsidRDefault="00F01DD4" w:rsidP="00F01DD4">
      <w:pPr>
        <w:pStyle w:val="Heading3"/>
        <w:numPr>
          <w:ilvl w:val="0"/>
          <w:numId w:val="0"/>
        </w:numPr>
        <w:sectPr w:rsidR="00F01DD4" w:rsidRPr="00F01DD4" w:rsidSect="00086E7E">
          <w:footerReference w:type="default" r:id="rId12"/>
          <w:pgSz w:w="12240" w:h="15840" w:code="1"/>
          <w:pgMar w:top="720" w:right="1440" w:bottom="720" w:left="1440" w:header="440" w:footer="440" w:gutter="0"/>
          <w:cols w:space="720"/>
          <w:docGrid w:linePitch="360"/>
        </w:sectPr>
      </w:pPr>
    </w:p>
    <w:p w14:paraId="41C6A5E4" w14:textId="77777777" w:rsidR="00F27463" w:rsidRDefault="00F27463" w:rsidP="00B46C70">
      <w:pPr>
        <w:pStyle w:val="ES-Heading1"/>
        <w:jc w:val="center"/>
      </w:pPr>
      <w:bookmarkStart w:id="0" w:name="_Toc22047618"/>
      <w:bookmarkStart w:id="1" w:name="_Toc207980971"/>
      <w:bookmarkStart w:id="2" w:name="_Hlk21085756"/>
      <w:r>
        <w:lastRenderedPageBreak/>
        <w:t>REPORT SUMMARY</w:t>
      </w:r>
      <w:bookmarkEnd w:id="0"/>
      <w:bookmarkEnd w:id="1"/>
    </w:p>
    <w:p w14:paraId="7CD703C0" w14:textId="77777777" w:rsidR="00F27463" w:rsidRDefault="00F27463" w:rsidP="003B1BC2">
      <w:pPr>
        <w:pStyle w:val="Caption"/>
      </w:pPr>
    </w:p>
    <w:p w14:paraId="797B72D0" w14:textId="1CF92E8E" w:rsidR="00BF5AE6" w:rsidRDefault="00BF5AE6" w:rsidP="00070181">
      <w:pPr>
        <w:jc w:val="both"/>
      </w:pPr>
      <w:bookmarkStart w:id="3" w:name="_Hlk22041275"/>
      <w:r w:rsidRPr="00BF5AE6">
        <w:t>Historically, the Tranquillity Irrigation District (District) has levied volumetric agricultural water charges, monthly municipal charges, and land-based assessments to recover the District's expenses</w:t>
      </w:r>
      <w:r w:rsidR="007C0EA3">
        <w:t xml:space="preserve"> of delivering agricultural and municipal water to its landowners</w:t>
      </w:r>
      <w:r w:rsidR="003B1BC2">
        <w:t xml:space="preserve">. </w:t>
      </w:r>
      <w:r w:rsidR="007C0EA3">
        <w:t>Previously</w:t>
      </w:r>
      <w:r w:rsidRPr="00BF5AE6">
        <w:t xml:space="preserve">, non-operating revenues, District reserves, and outside water sales were used to make </w:t>
      </w:r>
      <w:proofErr w:type="gramStart"/>
      <w:r w:rsidRPr="00BF5AE6">
        <w:t>up</w:t>
      </w:r>
      <w:proofErr w:type="gramEnd"/>
      <w:r w:rsidRPr="00BF5AE6">
        <w:t xml:space="preserve"> any shortfall. In October 2019, landowners in the District approved rate increases to decrease the District’s reliance on revenue from outside water sales. </w:t>
      </w:r>
      <w:r w:rsidR="005D69A2">
        <w:t>I</w:t>
      </w:r>
      <w:r w:rsidRPr="00BF5AE6">
        <w:t>n 202</w:t>
      </w:r>
      <w:r w:rsidR="005D69A2">
        <w:t>2</w:t>
      </w:r>
      <w:r w:rsidRPr="00BF5AE6">
        <w:t xml:space="preserve">, the </w:t>
      </w:r>
      <w:r w:rsidR="00D13CF0">
        <w:t>agricultural water rate</w:t>
      </w:r>
      <w:r w:rsidRPr="00BF5AE6">
        <w:t xml:space="preserve"> was separated to recognize the</w:t>
      </w:r>
      <w:r w:rsidR="00E13A85">
        <w:t xml:space="preserve"> </w:t>
      </w:r>
      <w:r w:rsidRPr="00BF5AE6">
        <w:t xml:space="preserve">source of water (surface vs. groundwater) and the different costs associated with providing each of those sources. </w:t>
      </w:r>
      <w:r w:rsidR="005D69A2">
        <w:t xml:space="preserve">In 2024, the </w:t>
      </w:r>
      <w:r w:rsidR="00D13CF0">
        <w:t xml:space="preserve">agricultural water </w:t>
      </w:r>
      <w:proofErr w:type="gramStart"/>
      <w:r w:rsidR="00D13CF0">
        <w:t>rate</w:t>
      </w:r>
      <w:r w:rsidR="005D69A2">
        <w:t xml:space="preserve"> was</w:t>
      </w:r>
      <w:proofErr w:type="gramEnd"/>
      <w:r w:rsidR="005D69A2">
        <w:t xml:space="preserve"> increased </w:t>
      </w:r>
      <w:r w:rsidR="005D69A2" w:rsidRPr="00BF5AE6">
        <w:t xml:space="preserve">due to increased electric and fuel costs, declining </w:t>
      </w:r>
      <w:r w:rsidR="0078277C">
        <w:t>ground</w:t>
      </w:r>
      <w:r w:rsidR="005D69A2" w:rsidRPr="00BF5AE6">
        <w:t>water levels, flood impacts, and inflationary impacts</w:t>
      </w:r>
      <w:r w:rsidR="005D69A2">
        <w:t>.</w:t>
      </w:r>
    </w:p>
    <w:p w14:paraId="1C328C01" w14:textId="77777777" w:rsidR="00BF5AE6" w:rsidRDefault="00BF5AE6" w:rsidP="00070181">
      <w:pPr>
        <w:jc w:val="both"/>
      </w:pPr>
    </w:p>
    <w:p w14:paraId="1EB372E4" w14:textId="329B283D" w:rsidR="00BF5AE6" w:rsidRDefault="009B78EC" w:rsidP="00070181">
      <w:pPr>
        <w:jc w:val="both"/>
      </w:pPr>
      <w:r>
        <w:t>The two-rate structure has proven problematic, as the groundwater usually gets blended with the surface water when delivered</w:t>
      </w:r>
      <w:r w:rsidR="00991977">
        <w:t>, making it difficult to discern which landowner received which supply.</w:t>
      </w:r>
      <w:r>
        <w:t xml:space="preserve"> </w:t>
      </w:r>
      <w:r w:rsidR="00991977">
        <w:t xml:space="preserve">Additionally, SGMA-related pumping </w:t>
      </w:r>
      <w:r w:rsidR="00433EEB">
        <w:t>opera</w:t>
      </w:r>
      <w:r w:rsidR="00991977">
        <w:t xml:space="preserve">tions </w:t>
      </w:r>
      <w:r w:rsidR="00C52B63">
        <w:t xml:space="preserve">are anticipated to impact the </w:t>
      </w:r>
      <w:r w:rsidR="00433EEB">
        <w:t xml:space="preserve">timing of </w:t>
      </w:r>
      <w:r w:rsidR="00C52B63">
        <w:t xml:space="preserve">groundwater </w:t>
      </w:r>
      <w:r w:rsidR="00433EEB">
        <w:t>us</w:t>
      </w:r>
      <w:r w:rsidR="00C52B63">
        <w:t>e.</w:t>
      </w:r>
      <w:r w:rsidR="00991977">
        <w:t xml:space="preserve"> </w:t>
      </w:r>
      <w:r w:rsidR="00433EEB">
        <w:t>I</w:t>
      </w:r>
      <w:r w:rsidR="00433EEB" w:rsidRPr="00BF5AE6">
        <w:t xml:space="preserve">n </w:t>
      </w:r>
      <w:r w:rsidR="00433EEB">
        <w:t>response</w:t>
      </w:r>
      <w:r w:rsidR="00BF5AE6" w:rsidRPr="00BF5AE6">
        <w:t xml:space="preserve">, the </w:t>
      </w:r>
      <w:proofErr w:type="gramStart"/>
      <w:r w:rsidR="00BF5AE6" w:rsidRPr="00BF5AE6">
        <w:t>District</w:t>
      </w:r>
      <w:proofErr w:type="gramEnd"/>
      <w:r w:rsidR="00BF5AE6" w:rsidRPr="00BF5AE6">
        <w:t xml:space="preserve"> proposes to </w:t>
      </w:r>
      <w:r w:rsidR="00D13CF0">
        <w:t xml:space="preserve">change the rate structure back to a single volumetric rate, and to change </w:t>
      </w:r>
      <w:r w:rsidR="00B437C9">
        <w:t xml:space="preserve">the </w:t>
      </w:r>
      <w:r w:rsidR="00D13CF0">
        <w:t>agricultural water rate</w:t>
      </w:r>
      <w:r w:rsidR="00BF5AE6" w:rsidRPr="00BF5AE6">
        <w:t xml:space="preserve"> to reflect the </w:t>
      </w:r>
      <w:r w:rsidR="00C24E51">
        <w:t>actual</w:t>
      </w:r>
      <w:r w:rsidR="00C24E51" w:rsidRPr="00BF5AE6">
        <w:t xml:space="preserve"> </w:t>
      </w:r>
      <w:r w:rsidR="00D13CF0">
        <w:t xml:space="preserve">blended </w:t>
      </w:r>
      <w:r w:rsidR="00BF5AE6" w:rsidRPr="00BF5AE6">
        <w:t>cost of providing wate</w:t>
      </w:r>
      <w:r w:rsidR="006C3CF2">
        <w:t xml:space="preserve">r and replenish depleted </w:t>
      </w:r>
      <w:r w:rsidR="00C24E51">
        <w:t xml:space="preserve">District </w:t>
      </w:r>
      <w:r w:rsidR="006C3CF2">
        <w:t>reserves, without relying on outside water sales.</w:t>
      </w:r>
    </w:p>
    <w:p w14:paraId="18F5B266" w14:textId="77777777" w:rsidR="00BF5AE6" w:rsidRDefault="00BF5AE6" w:rsidP="00070181">
      <w:pPr>
        <w:jc w:val="both"/>
      </w:pPr>
    </w:p>
    <w:p w14:paraId="3C6AFD95" w14:textId="0497A19A" w:rsidR="00073101" w:rsidRDefault="00073101" w:rsidP="00070181">
      <w:pPr>
        <w:jc w:val="both"/>
      </w:pPr>
      <w:r w:rsidRPr="00073101">
        <w:t xml:space="preserve">Under the current </w:t>
      </w:r>
      <w:r w:rsidR="00D13CF0">
        <w:t>agricultural water rate</w:t>
      </w:r>
      <w:r w:rsidRPr="00073101">
        <w:t xml:space="preserve"> structure, the District charges a rate of $</w:t>
      </w:r>
      <w:r>
        <w:t>120</w:t>
      </w:r>
      <w:r w:rsidRPr="00073101">
        <w:t>/acre-foot (AF) for surface water and $2</w:t>
      </w:r>
      <w:r>
        <w:t>5</w:t>
      </w:r>
      <w:r w:rsidRPr="00073101">
        <w:t xml:space="preserve">0/AF for groundwater. The District proposes to </w:t>
      </w:r>
      <w:r w:rsidR="007C0EA3">
        <w:t xml:space="preserve">increase </w:t>
      </w:r>
      <w:r>
        <w:t xml:space="preserve">the </w:t>
      </w:r>
      <w:r w:rsidRPr="00073101">
        <w:t>water rate to</w:t>
      </w:r>
      <w:r w:rsidR="00664711">
        <w:t xml:space="preserve"> </w:t>
      </w:r>
      <w:r w:rsidRPr="00073101">
        <w:t>$</w:t>
      </w:r>
      <w:r w:rsidR="00664711">
        <w:t>15</w:t>
      </w:r>
      <w:r w:rsidR="00381FD5">
        <w:t>4</w:t>
      </w:r>
      <w:r w:rsidRPr="00073101">
        <w:t>/AF</w:t>
      </w:r>
      <w:r>
        <w:t xml:space="preserve"> </w:t>
      </w:r>
      <w:r w:rsidR="00664711">
        <w:t>beginning in 2026</w:t>
      </w:r>
      <w:r>
        <w:t>, regardless of the source</w:t>
      </w:r>
      <w:r w:rsidR="00B437C9">
        <w:t>, and is asking for approval up to a maximum rate of $17</w:t>
      </w:r>
      <w:r w:rsidR="00381FD5">
        <w:t>0</w:t>
      </w:r>
      <w:r w:rsidR="00B437C9">
        <w:t>/AF</w:t>
      </w:r>
      <w:r w:rsidRPr="00073101">
        <w:t>.</w:t>
      </w:r>
    </w:p>
    <w:p w14:paraId="0E107490" w14:textId="77777777" w:rsidR="00F27463" w:rsidRDefault="00F27463" w:rsidP="00070181">
      <w:pPr>
        <w:jc w:val="both"/>
      </w:pPr>
      <w:bookmarkStart w:id="4" w:name="_Ref511824558"/>
      <w:bookmarkEnd w:id="3"/>
    </w:p>
    <w:p w14:paraId="1ADAE020" w14:textId="7764DE19" w:rsidR="00616E22" w:rsidRPr="000C50C1" w:rsidRDefault="00616E22" w:rsidP="003B1BC2">
      <w:pPr>
        <w:pStyle w:val="Caption"/>
      </w:pPr>
      <w:r w:rsidRPr="000C50C1">
        <w:t>Current District Charges vs Proposed</w:t>
      </w:r>
    </w:p>
    <w:p w14:paraId="485717A6" w14:textId="735B911C" w:rsidR="00616E22" w:rsidRDefault="00616E22" w:rsidP="003B1BC2">
      <w:pPr>
        <w:pStyle w:val="Caption"/>
      </w:pPr>
    </w:p>
    <w:tbl>
      <w:tblPr>
        <w:tblW w:w="7840" w:type="dxa"/>
        <w:jc w:val="center"/>
        <w:tblLook w:val="04A0" w:firstRow="1" w:lastRow="0" w:firstColumn="1" w:lastColumn="0" w:noHBand="0" w:noVBand="1"/>
      </w:tblPr>
      <w:tblGrid>
        <w:gridCol w:w="2170"/>
        <w:gridCol w:w="2160"/>
        <w:gridCol w:w="1710"/>
        <w:gridCol w:w="1800"/>
      </w:tblGrid>
      <w:tr w:rsidR="00F27463" w14:paraId="70A06343" w14:textId="77777777" w:rsidTr="0078277C">
        <w:trPr>
          <w:trHeight w:val="485"/>
          <w:jc w:val="center"/>
        </w:trPr>
        <w:tc>
          <w:tcPr>
            <w:tcW w:w="2170" w:type="dxa"/>
            <w:tcBorders>
              <w:top w:val="single" w:sz="4" w:space="0" w:color="auto"/>
              <w:left w:val="single" w:sz="8" w:space="0" w:color="auto"/>
              <w:bottom w:val="single" w:sz="8" w:space="0" w:color="auto"/>
              <w:right w:val="single" w:sz="4" w:space="0" w:color="auto"/>
            </w:tcBorders>
            <w:vAlign w:val="center"/>
            <w:hideMark/>
          </w:tcPr>
          <w:bookmarkEnd w:id="4"/>
          <w:p w14:paraId="2854608D" w14:textId="77777777" w:rsidR="00F27463" w:rsidRPr="000C50C1" w:rsidRDefault="00F27463" w:rsidP="00070181">
            <w:pPr>
              <w:keepNext/>
              <w:spacing w:line="276" w:lineRule="auto"/>
              <w:jc w:val="center"/>
              <w:rPr>
                <w:b/>
                <w:bCs/>
                <w:sz w:val="20"/>
              </w:rPr>
            </w:pPr>
            <w:r w:rsidRPr="000C50C1">
              <w:rPr>
                <w:b/>
                <w:bCs/>
                <w:sz w:val="20"/>
              </w:rPr>
              <w:t>Classification</w:t>
            </w:r>
          </w:p>
        </w:tc>
        <w:tc>
          <w:tcPr>
            <w:tcW w:w="2160" w:type="dxa"/>
            <w:tcBorders>
              <w:top w:val="single" w:sz="4" w:space="0" w:color="auto"/>
              <w:left w:val="nil"/>
              <w:bottom w:val="single" w:sz="8" w:space="0" w:color="auto"/>
              <w:right w:val="single" w:sz="4" w:space="0" w:color="auto"/>
            </w:tcBorders>
            <w:vAlign w:val="center"/>
            <w:hideMark/>
          </w:tcPr>
          <w:p w14:paraId="4808C974" w14:textId="77777777" w:rsidR="00F27463" w:rsidRPr="000C50C1" w:rsidRDefault="00F27463" w:rsidP="00070181">
            <w:pPr>
              <w:keepNext/>
              <w:spacing w:line="276" w:lineRule="auto"/>
              <w:jc w:val="center"/>
              <w:rPr>
                <w:b/>
                <w:bCs/>
                <w:sz w:val="20"/>
              </w:rPr>
            </w:pPr>
            <w:r w:rsidRPr="000C50C1">
              <w:rPr>
                <w:b/>
                <w:bCs/>
                <w:sz w:val="20"/>
              </w:rPr>
              <w:t>Current Rate</w:t>
            </w:r>
          </w:p>
        </w:tc>
        <w:tc>
          <w:tcPr>
            <w:tcW w:w="1710" w:type="dxa"/>
            <w:tcBorders>
              <w:top w:val="single" w:sz="4" w:space="0" w:color="auto"/>
              <w:left w:val="nil"/>
              <w:bottom w:val="single" w:sz="8" w:space="0" w:color="auto"/>
              <w:right w:val="single" w:sz="4" w:space="0" w:color="auto"/>
            </w:tcBorders>
            <w:vAlign w:val="center"/>
            <w:hideMark/>
          </w:tcPr>
          <w:p w14:paraId="142544E1" w14:textId="77777777" w:rsidR="00F27463" w:rsidRPr="000C50C1" w:rsidRDefault="00F27463" w:rsidP="00070181">
            <w:pPr>
              <w:keepNext/>
              <w:spacing w:line="276" w:lineRule="auto"/>
              <w:jc w:val="center"/>
              <w:rPr>
                <w:b/>
                <w:bCs/>
                <w:sz w:val="20"/>
              </w:rPr>
            </w:pPr>
            <w:r w:rsidRPr="000C50C1">
              <w:rPr>
                <w:b/>
                <w:bCs/>
                <w:sz w:val="20"/>
              </w:rPr>
              <w:t>Proposed 20</w:t>
            </w:r>
            <w:r>
              <w:rPr>
                <w:b/>
                <w:bCs/>
                <w:sz w:val="20"/>
              </w:rPr>
              <w:t>26</w:t>
            </w:r>
            <w:r w:rsidRPr="000C50C1">
              <w:rPr>
                <w:b/>
                <w:bCs/>
                <w:sz w:val="20"/>
              </w:rPr>
              <w:t xml:space="preserve"> Rate</w:t>
            </w:r>
          </w:p>
        </w:tc>
        <w:tc>
          <w:tcPr>
            <w:tcW w:w="1800" w:type="dxa"/>
            <w:tcBorders>
              <w:top w:val="single" w:sz="4" w:space="0" w:color="auto"/>
              <w:left w:val="single" w:sz="4" w:space="0" w:color="auto"/>
              <w:bottom w:val="single" w:sz="8" w:space="0" w:color="auto"/>
              <w:right w:val="single" w:sz="4" w:space="0" w:color="auto"/>
            </w:tcBorders>
            <w:vAlign w:val="center"/>
            <w:hideMark/>
          </w:tcPr>
          <w:p w14:paraId="74D02821" w14:textId="77777777" w:rsidR="00F27463" w:rsidRPr="000C50C1" w:rsidRDefault="00F27463" w:rsidP="00070181">
            <w:pPr>
              <w:keepNext/>
              <w:spacing w:line="276" w:lineRule="auto"/>
              <w:jc w:val="center"/>
              <w:rPr>
                <w:b/>
                <w:bCs/>
                <w:sz w:val="20"/>
              </w:rPr>
            </w:pPr>
            <w:r w:rsidRPr="000C50C1">
              <w:rPr>
                <w:b/>
                <w:bCs/>
                <w:sz w:val="20"/>
              </w:rPr>
              <w:t>Proposed Maximum Rate</w:t>
            </w:r>
          </w:p>
        </w:tc>
      </w:tr>
      <w:tr w:rsidR="00A37867" w:rsidRPr="00011094" w14:paraId="52388F38" w14:textId="77777777" w:rsidTr="0078277C">
        <w:trPr>
          <w:trHeight w:val="300"/>
          <w:jc w:val="center"/>
        </w:trPr>
        <w:tc>
          <w:tcPr>
            <w:tcW w:w="2170" w:type="dxa"/>
            <w:tcBorders>
              <w:top w:val="nil"/>
              <w:left w:val="single" w:sz="8" w:space="0" w:color="auto"/>
              <w:bottom w:val="single" w:sz="4" w:space="0" w:color="auto"/>
              <w:right w:val="single" w:sz="4" w:space="0" w:color="auto"/>
            </w:tcBorders>
            <w:noWrap/>
            <w:vAlign w:val="center"/>
          </w:tcPr>
          <w:p w14:paraId="696C0273" w14:textId="2F5C91BE" w:rsidR="00A37867" w:rsidRPr="00011094" w:rsidRDefault="00D13CF0" w:rsidP="00070181">
            <w:pPr>
              <w:keepNext/>
              <w:spacing w:line="276" w:lineRule="auto"/>
              <w:jc w:val="center"/>
              <w:rPr>
                <w:color w:val="000000"/>
                <w:sz w:val="20"/>
              </w:rPr>
            </w:pPr>
            <w:r>
              <w:rPr>
                <w:color w:val="000000"/>
                <w:sz w:val="20"/>
              </w:rPr>
              <w:t>Agricultural Water Rate</w:t>
            </w:r>
          </w:p>
        </w:tc>
        <w:tc>
          <w:tcPr>
            <w:tcW w:w="2160" w:type="dxa"/>
            <w:tcBorders>
              <w:top w:val="nil"/>
              <w:left w:val="nil"/>
              <w:bottom w:val="single" w:sz="4" w:space="0" w:color="auto"/>
              <w:right w:val="single" w:sz="4" w:space="0" w:color="auto"/>
            </w:tcBorders>
            <w:noWrap/>
            <w:vAlign w:val="center"/>
          </w:tcPr>
          <w:p w14:paraId="782E1712" w14:textId="2612CCB7" w:rsidR="00A37867" w:rsidRDefault="00A37867" w:rsidP="00070181">
            <w:pPr>
              <w:keepNext/>
              <w:spacing w:line="276" w:lineRule="auto"/>
              <w:jc w:val="center"/>
              <w:rPr>
                <w:color w:val="000000"/>
                <w:sz w:val="20"/>
              </w:rPr>
            </w:pPr>
            <w:r w:rsidRPr="00011094">
              <w:rPr>
                <w:color w:val="000000"/>
                <w:sz w:val="20"/>
              </w:rPr>
              <w:t>$</w:t>
            </w:r>
            <w:r>
              <w:rPr>
                <w:color w:val="000000"/>
                <w:sz w:val="20"/>
              </w:rPr>
              <w:t>120</w:t>
            </w:r>
            <w:r w:rsidRPr="00011094">
              <w:rPr>
                <w:color w:val="000000"/>
                <w:sz w:val="20"/>
              </w:rPr>
              <w:t>/</w:t>
            </w:r>
            <w:r>
              <w:rPr>
                <w:color w:val="000000"/>
                <w:sz w:val="20"/>
              </w:rPr>
              <w:t>AF (surface)</w:t>
            </w:r>
          </w:p>
          <w:p w14:paraId="6FA6F527" w14:textId="40C3BFF2" w:rsidR="00A37867" w:rsidRPr="00011094" w:rsidRDefault="00A37867" w:rsidP="00070181">
            <w:pPr>
              <w:keepNext/>
              <w:spacing w:line="276" w:lineRule="auto"/>
              <w:jc w:val="center"/>
              <w:rPr>
                <w:color w:val="000000"/>
                <w:sz w:val="20"/>
              </w:rPr>
            </w:pPr>
            <w:r>
              <w:rPr>
                <w:color w:val="000000"/>
                <w:sz w:val="20"/>
              </w:rPr>
              <w:t>$250/AF (groundwater)</w:t>
            </w:r>
          </w:p>
        </w:tc>
        <w:tc>
          <w:tcPr>
            <w:tcW w:w="1710" w:type="dxa"/>
            <w:tcBorders>
              <w:top w:val="nil"/>
              <w:left w:val="nil"/>
              <w:bottom w:val="single" w:sz="4" w:space="0" w:color="auto"/>
              <w:right w:val="single" w:sz="4" w:space="0" w:color="auto"/>
            </w:tcBorders>
            <w:vAlign w:val="center"/>
          </w:tcPr>
          <w:p w14:paraId="7317D146" w14:textId="3F304761" w:rsidR="00A37867" w:rsidRPr="00664711" w:rsidRDefault="00A37867" w:rsidP="00070181">
            <w:pPr>
              <w:keepNext/>
              <w:spacing w:line="276" w:lineRule="auto"/>
              <w:jc w:val="center"/>
              <w:rPr>
                <w:color w:val="000000"/>
                <w:sz w:val="20"/>
              </w:rPr>
            </w:pPr>
            <w:r w:rsidRPr="00664711">
              <w:rPr>
                <w:color w:val="000000"/>
                <w:sz w:val="20"/>
              </w:rPr>
              <w:t>$</w:t>
            </w:r>
            <w:r w:rsidR="00664711">
              <w:rPr>
                <w:color w:val="000000"/>
                <w:sz w:val="20"/>
              </w:rPr>
              <w:t>15</w:t>
            </w:r>
            <w:r w:rsidR="00381FD5">
              <w:rPr>
                <w:color w:val="000000"/>
                <w:sz w:val="20"/>
              </w:rPr>
              <w:t>4</w:t>
            </w:r>
            <w:r w:rsidRPr="00664711">
              <w:rPr>
                <w:color w:val="000000"/>
                <w:sz w:val="20"/>
              </w:rPr>
              <w:t>/AF</w:t>
            </w:r>
          </w:p>
        </w:tc>
        <w:tc>
          <w:tcPr>
            <w:tcW w:w="1800" w:type="dxa"/>
            <w:tcBorders>
              <w:top w:val="nil"/>
              <w:left w:val="single" w:sz="4" w:space="0" w:color="auto"/>
              <w:bottom w:val="single" w:sz="4" w:space="0" w:color="auto"/>
              <w:right w:val="single" w:sz="4" w:space="0" w:color="auto"/>
            </w:tcBorders>
            <w:vAlign w:val="center"/>
          </w:tcPr>
          <w:p w14:paraId="73C47139" w14:textId="4099F4D5" w:rsidR="00A37867" w:rsidRPr="00664711" w:rsidRDefault="00A37867" w:rsidP="00070181">
            <w:pPr>
              <w:keepNext/>
              <w:spacing w:line="276" w:lineRule="auto"/>
              <w:jc w:val="center"/>
              <w:rPr>
                <w:color w:val="000000"/>
                <w:sz w:val="20"/>
              </w:rPr>
            </w:pPr>
            <w:r w:rsidRPr="00664711">
              <w:rPr>
                <w:color w:val="000000"/>
                <w:sz w:val="20"/>
              </w:rPr>
              <w:t>$</w:t>
            </w:r>
            <w:r w:rsidR="00664711">
              <w:rPr>
                <w:color w:val="000000"/>
                <w:sz w:val="20"/>
              </w:rPr>
              <w:t>17</w:t>
            </w:r>
            <w:r w:rsidR="00381FD5">
              <w:rPr>
                <w:color w:val="000000"/>
                <w:sz w:val="20"/>
              </w:rPr>
              <w:t>0</w:t>
            </w:r>
            <w:r w:rsidRPr="00664711">
              <w:rPr>
                <w:color w:val="000000"/>
                <w:sz w:val="20"/>
              </w:rPr>
              <w:t>/AF</w:t>
            </w:r>
          </w:p>
        </w:tc>
      </w:tr>
    </w:tbl>
    <w:p w14:paraId="0D71C3B4" w14:textId="77777777" w:rsidR="00A37867" w:rsidRDefault="00A37867" w:rsidP="00070181">
      <w:pPr>
        <w:jc w:val="both"/>
      </w:pPr>
      <w:bookmarkStart w:id="5" w:name="_Hlk21508568"/>
    </w:p>
    <w:p w14:paraId="05A3DC53" w14:textId="3860CA3D" w:rsidR="00073101" w:rsidRDefault="00073101" w:rsidP="00070181">
      <w:pPr>
        <w:jc w:val="both"/>
      </w:pPr>
      <w:r>
        <w:t>The maximum rate identified above was developed by taking the proposed 2026 budget</w:t>
      </w:r>
      <w:r w:rsidR="00070181">
        <w:t xml:space="preserve"> projected </w:t>
      </w:r>
      <w:r w:rsidR="00B437C9">
        <w:t xml:space="preserve">four </w:t>
      </w:r>
      <w:r w:rsidR="00070181">
        <w:t>years into the future (2030)</w:t>
      </w:r>
      <w:r>
        <w:t>, and then evaluating the budget under the following scenarios:</w:t>
      </w:r>
    </w:p>
    <w:p w14:paraId="647F80EC" w14:textId="77777777" w:rsidR="00073101" w:rsidRDefault="00073101" w:rsidP="00070181">
      <w:pPr>
        <w:jc w:val="both"/>
      </w:pPr>
    </w:p>
    <w:p w14:paraId="2F988400" w14:textId="77777777" w:rsidR="00073101" w:rsidRPr="00073101" w:rsidRDefault="00073101" w:rsidP="00070181">
      <w:pPr>
        <w:pStyle w:val="ListParagraph"/>
        <w:numPr>
          <w:ilvl w:val="0"/>
          <w:numId w:val="24"/>
        </w:numPr>
        <w:jc w:val="both"/>
        <w:rPr>
          <w:i w:val="0"/>
          <w:iCs/>
        </w:rPr>
      </w:pPr>
      <w:r w:rsidRPr="00073101">
        <w:rPr>
          <w:i w:val="0"/>
          <w:iCs/>
        </w:rPr>
        <w:t>Normal years, where surface water meets most of the District’s water needs; and</w:t>
      </w:r>
    </w:p>
    <w:p w14:paraId="5E5BEBFD" w14:textId="586D7405" w:rsidR="00073101" w:rsidRPr="00073101" w:rsidRDefault="00620410" w:rsidP="00070181">
      <w:pPr>
        <w:pStyle w:val="ListParagraph"/>
        <w:numPr>
          <w:ilvl w:val="0"/>
          <w:numId w:val="24"/>
        </w:numPr>
        <w:jc w:val="both"/>
        <w:rPr>
          <w:i w:val="0"/>
          <w:iCs/>
        </w:rPr>
      </w:pPr>
      <w:r>
        <w:rPr>
          <w:i w:val="0"/>
          <w:iCs/>
        </w:rPr>
        <w:t>Critically d</w:t>
      </w:r>
      <w:r w:rsidR="00073101" w:rsidRPr="00073101">
        <w:rPr>
          <w:i w:val="0"/>
          <w:iCs/>
        </w:rPr>
        <w:t xml:space="preserve">ry years, where surface water supplies are reduced by roughly </w:t>
      </w:r>
      <w:r>
        <w:rPr>
          <w:i w:val="0"/>
          <w:iCs/>
        </w:rPr>
        <w:t>40</w:t>
      </w:r>
      <w:r w:rsidR="00073101" w:rsidRPr="00073101">
        <w:rPr>
          <w:i w:val="0"/>
          <w:iCs/>
        </w:rPr>
        <w:t>% and more groundwater must be pumped</w:t>
      </w:r>
      <w:r w:rsidR="00B437C9">
        <w:rPr>
          <w:i w:val="0"/>
          <w:iCs/>
        </w:rPr>
        <w:t xml:space="preserve"> to satisfy the demands of the landowners within the District</w:t>
      </w:r>
      <w:r w:rsidR="00073101" w:rsidRPr="00073101">
        <w:rPr>
          <w:i w:val="0"/>
          <w:iCs/>
        </w:rPr>
        <w:t>.</w:t>
      </w:r>
    </w:p>
    <w:p w14:paraId="47D4CA39" w14:textId="77777777" w:rsidR="00073101" w:rsidRDefault="00073101" w:rsidP="00070181">
      <w:pPr>
        <w:jc w:val="both"/>
      </w:pPr>
    </w:p>
    <w:p w14:paraId="57FCA883" w14:textId="0B579D3C" w:rsidR="00073101" w:rsidRDefault="00073101" w:rsidP="00070181">
      <w:pPr>
        <w:jc w:val="both"/>
      </w:pPr>
      <w:r>
        <w:t xml:space="preserve">The amount charged by the District in any year can be lower than the </w:t>
      </w:r>
      <w:r w:rsidR="00C83E65">
        <w:t xml:space="preserve">proposed </w:t>
      </w:r>
      <w:r>
        <w:t xml:space="preserve">maximum, but will not exceed the </w:t>
      </w:r>
      <w:r w:rsidR="00B437C9">
        <w:t xml:space="preserve">maximum </w:t>
      </w:r>
      <w:r>
        <w:t xml:space="preserve">rate proposed herein unless </w:t>
      </w:r>
      <w:r w:rsidR="00207418">
        <w:t xml:space="preserve">the District conducts </w:t>
      </w:r>
      <w:r>
        <w:t xml:space="preserve">another </w:t>
      </w:r>
      <w:r w:rsidR="00207418">
        <w:t xml:space="preserve">Proposition 218 process, as described more, below. </w:t>
      </w:r>
      <w:r w:rsidR="007C0EA3">
        <w:t>After providing notice and holding a public hearing pursuant to Proposition 218</w:t>
      </w:r>
      <w:r w:rsidR="00263ACB">
        <w:t>,</w:t>
      </w:r>
      <w:r w:rsidR="007C0EA3">
        <w:t xml:space="preserve"> </w:t>
      </w:r>
      <w:r w:rsidR="00263ACB">
        <w:t xml:space="preserve">and if </w:t>
      </w:r>
      <w:r w:rsidR="007C0EA3">
        <w:t xml:space="preserve">there is </w:t>
      </w:r>
      <w:r w:rsidR="00263ACB">
        <w:t>no</w:t>
      </w:r>
      <w:r w:rsidR="007C0EA3">
        <w:t xml:space="preserve"> majority protest to the </w:t>
      </w:r>
      <w:r w:rsidR="00263ACB">
        <w:t>proposed</w:t>
      </w:r>
      <w:r w:rsidR="007C0EA3">
        <w:t xml:space="preserve"> rates, </w:t>
      </w:r>
      <w:r w:rsidR="00263ACB">
        <w:t>t</w:t>
      </w:r>
      <w:r>
        <w:t xml:space="preserve">he </w:t>
      </w:r>
      <w:r w:rsidR="00263ACB">
        <w:t xml:space="preserve">District Board of Directors may implement the </w:t>
      </w:r>
      <w:r>
        <w:t xml:space="preserve">proposed rates up to the maximum rate identified herein. The proposed rates allow the District to pay </w:t>
      </w:r>
      <w:r w:rsidR="00C83E65">
        <w:t xml:space="preserve">its </w:t>
      </w:r>
      <w:r>
        <w:t>actual operating costs without relying on revenue from outside water sales and reserves.</w:t>
      </w:r>
    </w:p>
    <w:p w14:paraId="693BD28A" w14:textId="77777777" w:rsidR="00F27463" w:rsidRDefault="00F27463" w:rsidP="00070181">
      <w:pPr>
        <w:jc w:val="both"/>
      </w:pPr>
    </w:p>
    <w:bookmarkEnd w:id="5"/>
    <w:p w14:paraId="63E5ACAB" w14:textId="6BE912EC" w:rsidR="00070181" w:rsidRDefault="00070181" w:rsidP="00070181">
      <w:pPr>
        <w:jc w:val="both"/>
      </w:pPr>
      <w:r>
        <w:t xml:space="preserve">The </w:t>
      </w:r>
      <w:r w:rsidR="00D55BF9">
        <w:t xml:space="preserve">proposed </w:t>
      </w:r>
      <w:r w:rsidR="00D13CF0">
        <w:t>agricultural water rate</w:t>
      </w:r>
      <w:r>
        <w:t xml:space="preserve"> increase is being conducted in accordance with provisions of Proposition 218, as reflected in Article XIII D</w:t>
      </w:r>
      <w:r w:rsidR="00207418">
        <w:t>, section 6</w:t>
      </w:r>
      <w:r>
        <w:t xml:space="preserve"> of the California Constitution and Section 53750 </w:t>
      </w:r>
      <w:r w:rsidR="00D55BF9" w:rsidRPr="00381FD5">
        <w:rPr>
          <w:i/>
          <w:iCs/>
        </w:rPr>
        <w:t xml:space="preserve">et </w:t>
      </w:r>
      <w:r w:rsidR="00D55BF9" w:rsidRPr="00381FD5">
        <w:rPr>
          <w:i/>
          <w:iCs/>
        </w:rPr>
        <w:lastRenderedPageBreak/>
        <w:t>seq</w:t>
      </w:r>
      <w:r w:rsidR="00D55BF9">
        <w:t xml:space="preserve">. </w:t>
      </w:r>
      <w:r>
        <w:t xml:space="preserve">of the California Government Code. These constitutional and statutory provisions implement Proposition 218, which established mandatory procedures that local agencies must follow in order to levy certain property related charges or fees. </w:t>
      </w:r>
    </w:p>
    <w:p w14:paraId="1ADDF5A7" w14:textId="77777777" w:rsidR="00070181" w:rsidRDefault="00070181" w:rsidP="00070181">
      <w:pPr>
        <w:jc w:val="both"/>
      </w:pPr>
    </w:p>
    <w:p w14:paraId="7D1E0026" w14:textId="60365DD6" w:rsidR="00070181" w:rsidRDefault="00D55BF9" w:rsidP="00070181">
      <w:pPr>
        <w:jc w:val="both"/>
      </w:pPr>
      <w:r>
        <w:t>Pursuant to</w:t>
      </w:r>
      <w:r w:rsidR="00070181">
        <w:t xml:space="preserve"> Proposition 218, once the Board determines the need to increase water charges, the District must evaluate </w:t>
      </w:r>
      <w:r>
        <w:t>its cost</w:t>
      </w:r>
      <w:r w:rsidR="009C0015">
        <w:t>s</w:t>
      </w:r>
      <w:r>
        <w:t xml:space="preserve"> </w:t>
      </w:r>
      <w:r w:rsidR="009C0015">
        <w:t>related to</w:t>
      </w:r>
      <w:r>
        <w:t xml:space="preserve"> providing water to its landowners </w:t>
      </w:r>
      <w:r w:rsidR="00070181">
        <w:t xml:space="preserve">and </w:t>
      </w:r>
      <w:r w:rsidR="009C0015">
        <w:t xml:space="preserve">determine </w:t>
      </w:r>
      <w:r w:rsidR="00070181">
        <w:t xml:space="preserve">how to allocate the </w:t>
      </w:r>
      <w:r>
        <w:t xml:space="preserve">revenue need </w:t>
      </w:r>
      <w:r w:rsidR="009C0015">
        <w:t xml:space="preserve">to </w:t>
      </w:r>
      <w:r>
        <w:t>landowners who receive the service, in a proportional manner.</w:t>
      </w:r>
      <w:r w:rsidR="00070181">
        <w:t xml:space="preserve"> This Fee Study discusses the </w:t>
      </w:r>
      <w:r w:rsidR="009C0015">
        <w:t xml:space="preserve">services provided by the </w:t>
      </w:r>
      <w:r w:rsidR="00070181">
        <w:t>Distric</w:t>
      </w:r>
      <w:r w:rsidR="009C0015">
        <w:t>t, analyzes its revenue needs</w:t>
      </w:r>
      <w:r w:rsidR="003B288E">
        <w:t xml:space="preserve"> to provide those services</w:t>
      </w:r>
      <w:r w:rsidR="009C0015">
        <w:t xml:space="preserve">, </w:t>
      </w:r>
      <w:r w:rsidR="003B288E">
        <w:t xml:space="preserve">then </w:t>
      </w:r>
      <w:r w:rsidR="009C0015">
        <w:t>allocates t</w:t>
      </w:r>
      <w:r w:rsidR="003B288E">
        <w:t xml:space="preserve">hose costs </w:t>
      </w:r>
      <w:r w:rsidR="009C0015">
        <w:t>among landowners that receive those services</w:t>
      </w:r>
      <w:r w:rsidR="003B288E">
        <w:t>,</w:t>
      </w:r>
      <w:r w:rsidR="009C0015">
        <w:t xml:space="preserve"> in a proportional manner</w:t>
      </w:r>
      <w:r w:rsidR="003B288E">
        <w:t>,</w:t>
      </w:r>
      <w:r w:rsidR="009C0015">
        <w:t xml:space="preserve"> through the proposed </w:t>
      </w:r>
      <w:r w:rsidR="00D13CF0">
        <w:t>agricultural water rate</w:t>
      </w:r>
      <w:r w:rsidR="009C0015">
        <w:t xml:space="preserve">. </w:t>
      </w:r>
      <w:r w:rsidR="00070181">
        <w:t xml:space="preserve"> </w:t>
      </w:r>
    </w:p>
    <w:p w14:paraId="548EB4D5" w14:textId="77777777" w:rsidR="00070181" w:rsidRDefault="00070181" w:rsidP="00070181">
      <w:pPr>
        <w:jc w:val="both"/>
      </w:pPr>
    </w:p>
    <w:p w14:paraId="43BA0323" w14:textId="4FCA3789" w:rsidR="008375D2" w:rsidRDefault="00070181" w:rsidP="00070181">
      <w:pPr>
        <w:jc w:val="both"/>
      </w:pPr>
      <w:r>
        <w:t xml:space="preserve">Following the acceptance of this Fee Study by the Board of Directors, the District will mail a notice to water users </w:t>
      </w:r>
      <w:r w:rsidR="00C83E65">
        <w:t>regarding</w:t>
      </w:r>
      <w:r>
        <w:t xml:space="preserve"> the proposed increase </w:t>
      </w:r>
      <w:r w:rsidR="00C83E65">
        <w:t>for</w:t>
      </w:r>
      <w:r>
        <w:t xml:space="preserve"> </w:t>
      </w:r>
      <w:r w:rsidR="00D13CF0">
        <w:t>agricultural water rate</w:t>
      </w:r>
      <w:r>
        <w:t>s. The District’s Board of Directors will hold a public hearing to determine whether or not there is a majority protest against these</w:t>
      </w:r>
      <w:r w:rsidR="00677EEF">
        <w:t xml:space="preserve"> proposed maximum</w:t>
      </w:r>
      <w:r>
        <w:t xml:space="preserve"> rate increases. If there is not a majority protest, then the Board of Directors may increase the </w:t>
      </w:r>
      <w:r w:rsidR="00D13CF0">
        <w:t>agricultural water rate</w:t>
      </w:r>
      <w:r>
        <w:t>s up to the maximum amount identified on the notice and in this Fee Study</w:t>
      </w:r>
      <w:bookmarkEnd w:id="2"/>
      <w:r>
        <w:t>.</w:t>
      </w:r>
    </w:p>
    <w:p w14:paraId="76BB0E70" w14:textId="77777777" w:rsidR="00070181" w:rsidRDefault="00070181" w:rsidP="00070181">
      <w:pPr>
        <w:jc w:val="both"/>
      </w:pPr>
    </w:p>
    <w:p w14:paraId="3BD98E71" w14:textId="77777777" w:rsidR="00F27463" w:rsidRPr="006446BF" w:rsidRDefault="00F27463" w:rsidP="00070181">
      <w:pPr>
        <w:pStyle w:val="Heading1"/>
        <w:jc w:val="both"/>
      </w:pPr>
      <w:bookmarkStart w:id="6" w:name="_Toc22047619"/>
      <w:bookmarkStart w:id="7" w:name="_Toc207980972"/>
      <w:r w:rsidRPr="006446BF">
        <w:t>PURPOSE OF THE REPORT</w:t>
      </w:r>
      <w:bookmarkEnd w:id="6"/>
      <w:bookmarkEnd w:id="7"/>
    </w:p>
    <w:p w14:paraId="243A4AE3" w14:textId="77777777" w:rsidR="00F27463" w:rsidRPr="006446BF" w:rsidRDefault="00F27463" w:rsidP="00070181">
      <w:pPr>
        <w:pStyle w:val="Heading2"/>
        <w:jc w:val="both"/>
      </w:pPr>
      <w:bookmarkStart w:id="8" w:name="_Toc22047620"/>
      <w:bookmarkStart w:id="9" w:name="_Toc207980973"/>
      <w:r w:rsidRPr="006446BF">
        <w:t>General</w:t>
      </w:r>
      <w:bookmarkEnd w:id="8"/>
      <w:bookmarkEnd w:id="9"/>
    </w:p>
    <w:p w14:paraId="6B57A507" w14:textId="6E728A27" w:rsidR="00F27463" w:rsidRPr="006446BF" w:rsidRDefault="00070181" w:rsidP="00070181">
      <w:pPr>
        <w:pStyle w:val="BodyText0"/>
        <w:spacing w:before="120"/>
      </w:pPr>
      <w:r w:rsidRPr="00070181">
        <w:t>In November 1996, the California voters approved Proposition 218, the “Right to Vote on Taxes Act”, which added Article XIII D to the California Constitution. Proposition 218</w:t>
      </w:r>
      <w:r w:rsidR="009C0015">
        <w:t xml:space="preserve"> </w:t>
      </w:r>
      <w:bookmarkStart w:id="10" w:name="_Hlk211257332"/>
      <w:r w:rsidR="009C0015">
        <w:t>(Article XIII D, section 6)</w:t>
      </w:r>
      <w:r w:rsidRPr="00070181">
        <w:t xml:space="preserve"> </w:t>
      </w:r>
      <w:bookmarkEnd w:id="10"/>
      <w:r w:rsidRPr="00070181">
        <w:t>imposes certain requirements relative to the imposition of any new or increa</w:t>
      </w:r>
      <w:r w:rsidR="009C0015">
        <w:t>sed</w:t>
      </w:r>
      <w:r w:rsidRPr="00070181">
        <w:t xml:space="preserve"> property-related fees and charges by local agencies. </w:t>
      </w:r>
    </w:p>
    <w:p w14:paraId="1C62F116" w14:textId="77777777" w:rsidR="00F27463" w:rsidRPr="006446BF" w:rsidRDefault="00F27463" w:rsidP="00070181">
      <w:pPr>
        <w:pStyle w:val="Heading2"/>
        <w:jc w:val="both"/>
      </w:pPr>
      <w:bookmarkStart w:id="11" w:name="_Toc22047621"/>
      <w:bookmarkStart w:id="12" w:name="_Toc207980974"/>
      <w:r w:rsidRPr="006446BF">
        <w:t>Proposition 218 Requirements</w:t>
      </w:r>
      <w:bookmarkEnd w:id="11"/>
      <w:bookmarkEnd w:id="12"/>
    </w:p>
    <w:p w14:paraId="44F3EA86" w14:textId="77777777" w:rsidR="00070181" w:rsidRDefault="00070181" w:rsidP="00070181">
      <w:pPr>
        <w:pStyle w:val="BodyText0"/>
        <w:spacing w:before="120"/>
      </w:pPr>
      <w:r>
        <w:t>In general, before a local agency can levy new or increased water rates, the following procedures are required:</w:t>
      </w:r>
    </w:p>
    <w:p w14:paraId="08B2612E" w14:textId="77777777" w:rsidR="00070181" w:rsidRDefault="00070181" w:rsidP="00070181">
      <w:pPr>
        <w:pStyle w:val="BodyText0"/>
        <w:numPr>
          <w:ilvl w:val="0"/>
          <w:numId w:val="25"/>
        </w:numPr>
        <w:spacing w:before="120"/>
      </w:pPr>
      <w:r>
        <w:t>Noticing Requirement – The District must mail a notice of the proposed rate increases to all affected property owners or ratepayers. The notice must specify the amount of the fee, the basis upon which it was calculated, the reason for the fee, and the date/time/location of the public rate hearing at which the proposed rates will be considered.</w:t>
      </w:r>
    </w:p>
    <w:p w14:paraId="610641E7" w14:textId="77777777" w:rsidR="00070181" w:rsidRDefault="00070181" w:rsidP="00070181">
      <w:pPr>
        <w:pStyle w:val="BodyText0"/>
        <w:numPr>
          <w:ilvl w:val="0"/>
          <w:numId w:val="25"/>
        </w:numPr>
        <w:spacing w:before="120"/>
      </w:pPr>
      <w:r>
        <w:t>Public Hearing – The District must hold a public hearing prior to adopting the proposed rate increases. The public hearing must be held not less than 45 days after the required notices are mailed.</w:t>
      </w:r>
    </w:p>
    <w:p w14:paraId="00F64FB3" w14:textId="2885956C" w:rsidR="00070181" w:rsidRDefault="00070181" w:rsidP="00070181">
      <w:pPr>
        <w:pStyle w:val="BodyText0"/>
        <w:numPr>
          <w:ilvl w:val="0"/>
          <w:numId w:val="25"/>
        </w:numPr>
        <w:spacing w:before="120"/>
      </w:pPr>
      <w:r>
        <w:t xml:space="preserve">Rate increases subject to Majority Protest – At the public hearing, the proposed rate increases are subject to majority protest. If more than 50% </w:t>
      </w:r>
      <w:bookmarkStart w:id="13" w:name="_Hlk211257806"/>
      <w:r w:rsidR="00C50ACD">
        <w:t xml:space="preserve">(50% plus one) </w:t>
      </w:r>
      <w:bookmarkEnd w:id="13"/>
      <w:r>
        <w:t>of the affected property owners or ratepayers submit written protests against the proposed rate increases, the increases cannot be adopted.</w:t>
      </w:r>
    </w:p>
    <w:p w14:paraId="7D3F12D9" w14:textId="7D6A56C3" w:rsidR="00F27463" w:rsidRPr="006446BF" w:rsidRDefault="00F27463" w:rsidP="00F27463">
      <w:pPr>
        <w:pStyle w:val="Heading2"/>
      </w:pPr>
      <w:bookmarkStart w:id="14" w:name="_Toc22047623"/>
      <w:bookmarkStart w:id="15" w:name="_Toc207980975"/>
      <w:r w:rsidRPr="006446BF">
        <w:t xml:space="preserve">Limitations of the </w:t>
      </w:r>
      <w:bookmarkEnd w:id="14"/>
      <w:r w:rsidR="00070181">
        <w:t>F</w:t>
      </w:r>
      <w:r w:rsidR="007E5FD8">
        <w:t>ee</w:t>
      </w:r>
      <w:r w:rsidR="00070181">
        <w:t xml:space="preserve"> Study</w:t>
      </w:r>
      <w:bookmarkEnd w:id="15"/>
    </w:p>
    <w:p w14:paraId="77C30750" w14:textId="2EDCD892" w:rsidR="00F27463" w:rsidRPr="006446BF" w:rsidRDefault="00070181" w:rsidP="00F27463">
      <w:pPr>
        <w:jc w:val="both"/>
      </w:pPr>
      <w:r w:rsidRPr="00070181">
        <w:t xml:space="preserve">This report is limited to the proposed increase to </w:t>
      </w:r>
      <w:r w:rsidR="00D13CF0">
        <w:t>agricultural water rate</w:t>
      </w:r>
      <w:r w:rsidRPr="00070181">
        <w:t>s to fully fund the District’s cost</w:t>
      </w:r>
      <w:r w:rsidR="00C50ACD">
        <w:t>s of providing agricultural water service to its landowners</w:t>
      </w:r>
      <w:r w:rsidRPr="00070181">
        <w:t xml:space="preserve">. Although the District is seeking to increase its rates, the </w:t>
      </w:r>
      <w:r w:rsidR="00C50ACD">
        <w:t xml:space="preserve">proposed </w:t>
      </w:r>
      <w:r w:rsidRPr="00070181">
        <w:t xml:space="preserve">increase is to replace the </w:t>
      </w:r>
      <w:r w:rsidR="00C50ACD">
        <w:t>revenue</w:t>
      </w:r>
      <w:r w:rsidR="00C50ACD" w:rsidRPr="00070181">
        <w:t xml:space="preserve"> </w:t>
      </w:r>
      <w:r w:rsidRPr="00070181">
        <w:t xml:space="preserve">currently </w:t>
      </w:r>
      <w:r w:rsidR="00C50ACD">
        <w:t>generated</w:t>
      </w:r>
      <w:r w:rsidR="00C50ACD" w:rsidRPr="00070181">
        <w:t xml:space="preserve"> </w:t>
      </w:r>
      <w:r w:rsidRPr="00070181">
        <w:t xml:space="preserve">by outside water sales and the use of </w:t>
      </w:r>
      <w:r w:rsidRPr="00070181">
        <w:lastRenderedPageBreak/>
        <w:t>reserve accounts and does not reflect an increase in the budgeted expenses of the District (excluding inflationary increases).</w:t>
      </w:r>
      <w:r w:rsidR="00F27463" w:rsidRPr="006446BF">
        <w:t xml:space="preserve"> </w:t>
      </w:r>
    </w:p>
    <w:p w14:paraId="0FFC8B44" w14:textId="77777777" w:rsidR="00F27463" w:rsidRPr="006446BF" w:rsidRDefault="00F27463" w:rsidP="00F27463">
      <w:pPr>
        <w:pStyle w:val="Heading2"/>
      </w:pPr>
      <w:bookmarkStart w:id="16" w:name="_Toc22047624"/>
      <w:bookmarkStart w:id="17" w:name="_Toc207980976"/>
      <w:r w:rsidRPr="006446BF">
        <w:t>Revenue Objectives</w:t>
      </w:r>
      <w:bookmarkEnd w:id="16"/>
      <w:bookmarkEnd w:id="17"/>
    </w:p>
    <w:p w14:paraId="0D7529C4" w14:textId="19B9AF3F" w:rsidR="00F27463" w:rsidRDefault="00070181" w:rsidP="00F27463">
      <w:pPr>
        <w:pStyle w:val="BodyText0"/>
        <w:spacing w:before="120"/>
      </w:pPr>
      <w:r w:rsidRPr="00070181">
        <w:t xml:space="preserve">The main revenue objective for the District is to collect funds to fully fund the </w:t>
      </w:r>
      <w:r w:rsidR="009C0015">
        <w:t xml:space="preserve">District’s </w:t>
      </w:r>
      <w:r w:rsidRPr="00070181">
        <w:t>variable costs to</w:t>
      </w:r>
      <w:r w:rsidR="009C0015">
        <w:t xml:space="preserve"> provide </w:t>
      </w:r>
      <w:r w:rsidRPr="00070181">
        <w:t xml:space="preserve">agricultural water </w:t>
      </w:r>
      <w:r w:rsidR="009C0015">
        <w:t>service to its</w:t>
      </w:r>
      <w:r w:rsidRPr="00070181">
        <w:t xml:space="preserve"> landowners and to replenish the District’s reserve fund through increased water rates, without utilizing outside water sales.</w:t>
      </w:r>
    </w:p>
    <w:p w14:paraId="05239562" w14:textId="2C0880C9" w:rsidR="00F27463" w:rsidRPr="006446BF" w:rsidRDefault="007E5FD8" w:rsidP="00F27463">
      <w:pPr>
        <w:pStyle w:val="Heading1"/>
        <w:numPr>
          <w:ilvl w:val="0"/>
          <w:numId w:val="1"/>
        </w:numPr>
      </w:pPr>
      <w:bookmarkStart w:id="18" w:name="_Toc207980977"/>
      <w:r>
        <w:t>CURRENT AND PROJECTED WATER SUPPLIES</w:t>
      </w:r>
      <w:bookmarkEnd w:id="18"/>
    </w:p>
    <w:p w14:paraId="4126886C" w14:textId="77777777" w:rsidR="00F27463" w:rsidRPr="006446BF" w:rsidRDefault="00F27463" w:rsidP="003E3DC8">
      <w:pPr>
        <w:pStyle w:val="Heading2"/>
      </w:pPr>
      <w:bookmarkStart w:id="19" w:name="_Toc22047626"/>
      <w:bookmarkStart w:id="20" w:name="_Toc207980978"/>
      <w:r w:rsidRPr="006446BF">
        <w:t>General</w:t>
      </w:r>
      <w:bookmarkEnd w:id="19"/>
      <w:bookmarkEnd w:id="20"/>
    </w:p>
    <w:p w14:paraId="7E4C7D6F" w14:textId="73415455" w:rsidR="00F27463" w:rsidRDefault="00070181" w:rsidP="00B07132">
      <w:pPr>
        <w:pStyle w:val="BodyText0"/>
        <w:spacing w:before="0"/>
        <w:rPr>
          <w:rStyle w:val="BodyTextChar"/>
        </w:rPr>
      </w:pPr>
      <w:r w:rsidRPr="00070181">
        <w:rPr>
          <w:rStyle w:val="BodyTextChar"/>
        </w:rPr>
        <w:t xml:space="preserve">The District </w:t>
      </w:r>
      <w:r w:rsidRPr="00B07132">
        <w:t>last</w:t>
      </w:r>
      <w:r w:rsidRPr="00070181">
        <w:rPr>
          <w:rStyle w:val="BodyTextChar"/>
        </w:rPr>
        <w:t xml:space="preserve"> conducted a Proposition 218 public hearing regarding volumetric agricultural water charges on </w:t>
      </w:r>
      <w:r w:rsidRPr="005D69A2">
        <w:rPr>
          <w:rStyle w:val="BodyTextChar"/>
        </w:rPr>
        <w:t>January 1</w:t>
      </w:r>
      <w:r w:rsidR="005D69A2">
        <w:rPr>
          <w:rStyle w:val="BodyTextChar"/>
        </w:rPr>
        <w:t>7</w:t>
      </w:r>
      <w:r w:rsidRPr="005D69A2">
        <w:rPr>
          <w:rStyle w:val="BodyTextChar"/>
        </w:rPr>
        <w:t>, 202</w:t>
      </w:r>
      <w:r w:rsidR="005D69A2">
        <w:rPr>
          <w:rStyle w:val="BodyTextChar"/>
        </w:rPr>
        <w:t>4</w:t>
      </w:r>
      <w:r w:rsidRPr="00070181">
        <w:rPr>
          <w:rStyle w:val="BodyTextChar"/>
        </w:rPr>
        <w:t>. The volumetric water charges were subject to majority protest and the amount of submitted written protests did not exceed the threshold to adequately raise a majority protest. The volumetric water charges were calculated based on the District supplementing revenues through outside water sales and other non-operating revenues.</w:t>
      </w:r>
    </w:p>
    <w:p w14:paraId="5775023C" w14:textId="4764DB3F" w:rsidR="00F27463" w:rsidRPr="006446BF" w:rsidRDefault="000F6F76" w:rsidP="00F27463">
      <w:pPr>
        <w:pStyle w:val="Heading2"/>
        <w:numPr>
          <w:ilvl w:val="1"/>
          <w:numId w:val="1"/>
        </w:numPr>
      </w:pPr>
      <w:bookmarkStart w:id="21" w:name="_Toc207980979"/>
      <w:r>
        <w:t>Irrigation Water Demand</w:t>
      </w:r>
      <w:bookmarkEnd w:id="21"/>
    </w:p>
    <w:p w14:paraId="3EE39BD4" w14:textId="0384CC32" w:rsidR="00F27463" w:rsidRPr="006446BF" w:rsidRDefault="000F6F76" w:rsidP="00B07132">
      <w:pPr>
        <w:pStyle w:val="BodyText0"/>
        <w:spacing w:before="120"/>
      </w:pPr>
      <w:r w:rsidRPr="000F6F76">
        <w:t xml:space="preserve">The District encompasses </w:t>
      </w:r>
      <w:r w:rsidRPr="00B07132">
        <w:rPr>
          <w:rStyle w:val="BodyTextChar"/>
        </w:rPr>
        <w:t>approximately</w:t>
      </w:r>
      <w:r w:rsidRPr="000F6F76">
        <w:t xml:space="preserve"> 10,750 acres in the west central portion of Fresno County, in California’s Central San Joaquin Valley. </w:t>
      </w:r>
      <w:r w:rsidR="00B437C9">
        <w:t>F</w:t>
      </w:r>
      <w:r w:rsidRPr="000F6F76">
        <w:t xml:space="preserve">armland </w:t>
      </w:r>
      <w:r w:rsidR="00B437C9">
        <w:t xml:space="preserve">within the District </w:t>
      </w:r>
      <w:r w:rsidRPr="000F6F76">
        <w:t>has historically produced a variety of commodities including cotton, canning tomatoes, alfalfa (seed and hay), sugar beets, small grains, pistachios, and almonds. Irrigation water demand met by the District’s surface and groundwater supplies is typically 25,000 AF</w:t>
      </w:r>
      <w:r w:rsidR="00CE0896">
        <w:t xml:space="preserve"> per </w:t>
      </w:r>
      <w:r w:rsidRPr="000F6F76">
        <w:t>year.</w:t>
      </w:r>
      <w:r w:rsidR="00F27463" w:rsidRPr="006446BF">
        <w:t xml:space="preserve"> </w:t>
      </w:r>
    </w:p>
    <w:p w14:paraId="03F905E7" w14:textId="77777777" w:rsidR="000F6F76" w:rsidRPr="006446BF" w:rsidRDefault="000F6F76" w:rsidP="000F6F76">
      <w:pPr>
        <w:pStyle w:val="Heading2"/>
        <w:numPr>
          <w:ilvl w:val="1"/>
          <w:numId w:val="1"/>
        </w:numPr>
      </w:pPr>
      <w:bookmarkStart w:id="22" w:name="_Toc207980980"/>
      <w:r>
        <w:t>Surface Water Supply</w:t>
      </w:r>
      <w:bookmarkEnd w:id="22"/>
    </w:p>
    <w:p w14:paraId="78988C80" w14:textId="094D066A" w:rsidR="000F6F76" w:rsidRPr="000F6F76" w:rsidRDefault="000F6F76" w:rsidP="00B07132">
      <w:pPr>
        <w:pStyle w:val="BodyText0"/>
        <w:spacing w:before="0"/>
        <w:rPr>
          <w:rFonts w:asciiTheme="minorHAnsi" w:hAnsiTheme="minorHAnsi" w:cs="Arial"/>
          <w:lang w:bidi="ar-SA"/>
        </w:rPr>
      </w:pPr>
      <w:r w:rsidRPr="000F6F76">
        <w:rPr>
          <w:rFonts w:asciiTheme="minorHAnsi" w:hAnsiTheme="minorHAnsi" w:cs="Arial"/>
          <w:lang w:bidi="ar-SA"/>
        </w:rPr>
        <w:t>Normal surface water supplies of the District include Schedule 2 CVP water, South of Delta</w:t>
      </w:r>
      <w:r w:rsidR="00C83A43">
        <w:rPr>
          <w:rFonts w:asciiTheme="minorHAnsi" w:hAnsiTheme="minorHAnsi" w:cs="Arial"/>
          <w:lang w:bidi="ar-SA"/>
        </w:rPr>
        <w:t xml:space="preserve"> (SOD)</w:t>
      </w:r>
      <w:r w:rsidRPr="000F6F76">
        <w:rPr>
          <w:rFonts w:asciiTheme="minorHAnsi" w:hAnsiTheme="minorHAnsi" w:cs="Arial"/>
          <w:lang w:bidi="ar-SA"/>
        </w:rPr>
        <w:t xml:space="preserve"> CVP water, and Kings River water.</w:t>
      </w:r>
    </w:p>
    <w:p w14:paraId="0F5306CF" w14:textId="3447CC22" w:rsidR="000F6F76" w:rsidRPr="000F6F76" w:rsidRDefault="000F6F76" w:rsidP="000F6F76">
      <w:pPr>
        <w:pStyle w:val="BodyText0"/>
        <w:spacing w:before="100" w:beforeAutospacing="1" w:after="100" w:afterAutospacing="1"/>
        <w:rPr>
          <w:rFonts w:asciiTheme="minorHAnsi" w:hAnsiTheme="minorHAnsi" w:cs="Arial"/>
          <w:lang w:bidi="ar-SA"/>
        </w:rPr>
      </w:pPr>
      <w:r w:rsidRPr="000F6F76">
        <w:rPr>
          <w:rFonts w:asciiTheme="minorHAnsi" w:hAnsiTheme="minorHAnsi" w:cs="Arial"/>
          <w:lang w:bidi="ar-SA"/>
        </w:rPr>
        <w:t xml:space="preserve">Schedule 2 CVP </w:t>
      </w:r>
      <w:r w:rsidR="002E0D50">
        <w:rPr>
          <w:rFonts w:asciiTheme="minorHAnsi" w:hAnsiTheme="minorHAnsi" w:cs="Arial"/>
          <w:lang w:bidi="ar-SA"/>
        </w:rPr>
        <w:t>w</w:t>
      </w:r>
      <w:r w:rsidRPr="000F6F76">
        <w:rPr>
          <w:rFonts w:asciiTheme="minorHAnsi" w:hAnsiTheme="minorHAnsi" w:cs="Arial"/>
          <w:lang w:bidi="ar-SA"/>
        </w:rPr>
        <w:t xml:space="preserve">ater (Riparian Water or Rights Water) is delivered without charge as a settlement of the District’s water right claims in </w:t>
      </w:r>
      <w:r w:rsidR="00BF7F73">
        <w:rPr>
          <w:rFonts w:asciiTheme="minorHAnsi" w:hAnsiTheme="minorHAnsi" w:cs="Arial"/>
          <w:lang w:bidi="ar-SA"/>
        </w:rPr>
        <w:t xml:space="preserve">the </w:t>
      </w:r>
      <w:r w:rsidRPr="000F6F76">
        <w:rPr>
          <w:rFonts w:asciiTheme="minorHAnsi" w:hAnsiTheme="minorHAnsi" w:cs="Arial"/>
          <w:lang w:bidi="ar-SA"/>
        </w:rPr>
        <w:t>Fresno Slough; the settlement amount is 20,200 AF of water</w:t>
      </w:r>
      <w:r w:rsidR="00C502FE">
        <w:rPr>
          <w:rFonts w:asciiTheme="minorHAnsi" w:hAnsiTheme="minorHAnsi" w:cs="Arial"/>
          <w:lang w:bidi="ar-SA"/>
        </w:rPr>
        <w:t xml:space="preserve"> per year</w:t>
      </w:r>
      <w:r w:rsidRPr="000F6F76">
        <w:rPr>
          <w:rFonts w:asciiTheme="minorHAnsi" w:hAnsiTheme="minorHAnsi" w:cs="Arial"/>
          <w:lang w:bidi="ar-SA"/>
        </w:rPr>
        <w:t xml:space="preserve">. The contract (Contract 14-06-200-701-A) requires that the </w:t>
      </w:r>
      <w:proofErr w:type="gramStart"/>
      <w:r w:rsidRPr="000F6F76">
        <w:rPr>
          <w:rFonts w:asciiTheme="minorHAnsi" w:hAnsiTheme="minorHAnsi" w:cs="Arial"/>
          <w:lang w:bidi="ar-SA"/>
        </w:rPr>
        <w:t>District</w:t>
      </w:r>
      <w:proofErr w:type="gramEnd"/>
      <w:r w:rsidRPr="000F6F76">
        <w:rPr>
          <w:rFonts w:asciiTheme="minorHAnsi" w:hAnsiTheme="minorHAnsi" w:cs="Arial"/>
          <w:lang w:bidi="ar-SA"/>
        </w:rPr>
        <w:t xml:space="preserve"> take delivery of this water according to the schedule shown in </w:t>
      </w:r>
      <w:r>
        <w:rPr>
          <w:rFonts w:asciiTheme="minorHAnsi" w:hAnsiTheme="minorHAnsi" w:cs="Arial"/>
          <w:lang w:bidi="ar-SA"/>
        </w:rPr>
        <w:fldChar w:fldCharType="begin"/>
      </w:r>
      <w:r>
        <w:rPr>
          <w:rFonts w:asciiTheme="minorHAnsi" w:hAnsiTheme="minorHAnsi" w:cs="Arial"/>
          <w:lang w:bidi="ar-SA"/>
        </w:rPr>
        <w:instrText xml:space="preserve"> REF _Ref21354678 \h </w:instrText>
      </w:r>
      <w:r>
        <w:rPr>
          <w:rFonts w:asciiTheme="minorHAnsi" w:hAnsiTheme="minorHAnsi" w:cs="Arial"/>
          <w:lang w:bidi="ar-SA"/>
        </w:rPr>
      </w:r>
      <w:r>
        <w:rPr>
          <w:rFonts w:asciiTheme="minorHAnsi" w:hAnsiTheme="minorHAnsi" w:cs="Arial"/>
          <w:lang w:bidi="ar-SA"/>
        </w:rPr>
        <w:fldChar w:fldCharType="separate"/>
      </w:r>
      <w:r w:rsidR="00C52B63" w:rsidRPr="000C50C1">
        <w:t xml:space="preserve">Table </w:t>
      </w:r>
      <w:r w:rsidR="00C52B63">
        <w:rPr>
          <w:noProof/>
        </w:rPr>
        <w:t>1</w:t>
      </w:r>
      <w:r>
        <w:rPr>
          <w:rFonts w:asciiTheme="minorHAnsi" w:hAnsiTheme="minorHAnsi" w:cs="Arial"/>
          <w:lang w:bidi="ar-SA"/>
        </w:rPr>
        <w:fldChar w:fldCharType="end"/>
      </w:r>
      <w:r w:rsidRPr="000F6F76">
        <w:rPr>
          <w:rFonts w:asciiTheme="minorHAnsi" w:hAnsiTheme="minorHAnsi" w:cs="Arial"/>
          <w:lang w:bidi="ar-SA"/>
        </w:rPr>
        <w:t>.</w:t>
      </w:r>
      <w:r w:rsidR="00620410">
        <w:rPr>
          <w:rFonts w:asciiTheme="minorHAnsi" w:hAnsiTheme="minorHAnsi" w:cs="Arial"/>
          <w:lang w:bidi="ar-SA"/>
        </w:rPr>
        <w:t xml:space="preserve"> </w:t>
      </w:r>
      <w:r w:rsidR="002E0D50">
        <w:rPr>
          <w:rFonts w:asciiTheme="minorHAnsi" w:hAnsiTheme="minorHAnsi" w:cs="Arial"/>
          <w:lang w:bidi="ar-SA"/>
        </w:rPr>
        <w:t>When</w:t>
      </w:r>
      <w:r w:rsidR="00620410">
        <w:rPr>
          <w:rFonts w:asciiTheme="minorHAnsi" w:hAnsiTheme="minorHAnsi" w:cs="Arial"/>
          <w:lang w:bidi="ar-SA"/>
        </w:rPr>
        <w:t xml:space="preserve"> in-flows to Shasta Reservoir are below 3.2 million AF</w:t>
      </w:r>
      <w:r w:rsidR="002E0D50">
        <w:rPr>
          <w:rFonts w:asciiTheme="minorHAnsi" w:hAnsiTheme="minorHAnsi" w:cs="Arial"/>
          <w:lang w:bidi="ar-SA"/>
        </w:rPr>
        <w:t xml:space="preserve">, </w:t>
      </w:r>
      <w:r w:rsidR="00BF7F73">
        <w:rPr>
          <w:rFonts w:asciiTheme="minorHAnsi" w:hAnsiTheme="minorHAnsi" w:cs="Arial"/>
          <w:lang w:bidi="ar-SA"/>
        </w:rPr>
        <w:t xml:space="preserve"> </w:t>
      </w:r>
      <w:r w:rsidR="002E0D50">
        <w:rPr>
          <w:rFonts w:asciiTheme="minorHAnsi" w:hAnsiTheme="minorHAnsi" w:cs="Arial"/>
          <w:lang w:bidi="ar-SA"/>
        </w:rPr>
        <w:t xml:space="preserve">it is </w:t>
      </w:r>
      <w:r w:rsidR="00620410">
        <w:rPr>
          <w:rFonts w:asciiTheme="minorHAnsi" w:hAnsiTheme="minorHAnsi" w:cs="Arial"/>
          <w:lang w:bidi="ar-SA"/>
        </w:rPr>
        <w:t>considered critically dry, and the District’s Sch</w:t>
      </w:r>
      <w:r w:rsidR="00082EA6">
        <w:rPr>
          <w:rFonts w:asciiTheme="minorHAnsi" w:hAnsiTheme="minorHAnsi" w:cs="Arial"/>
          <w:lang w:bidi="ar-SA"/>
        </w:rPr>
        <w:t>e</w:t>
      </w:r>
      <w:r w:rsidR="00620410">
        <w:rPr>
          <w:rFonts w:asciiTheme="minorHAnsi" w:hAnsiTheme="minorHAnsi" w:cs="Arial"/>
          <w:lang w:bidi="ar-SA"/>
        </w:rPr>
        <w:t>dule 2 CVP water is reduced to 15,700 AF.</w:t>
      </w:r>
    </w:p>
    <w:p w14:paraId="73768E23" w14:textId="2E3E1837" w:rsidR="00C83A43" w:rsidRDefault="000F6F76" w:rsidP="000F6F76">
      <w:pPr>
        <w:pStyle w:val="BodyText0"/>
        <w:spacing w:before="100" w:beforeAutospacing="1" w:after="100" w:afterAutospacing="1"/>
        <w:rPr>
          <w:rFonts w:asciiTheme="minorHAnsi" w:hAnsiTheme="minorHAnsi" w:cs="Arial"/>
          <w:lang w:bidi="ar-SA"/>
        </w:rPr>
      </w:pPr>
      <w:r w:rsidRPr="000F6F76">
        <w:rPr>
          <w:rFonts w:asciiTheme="minorHAnsi" w:hAnsiTheme="minorHAnsi" w:cs="Arial"/>
          <w:lang w:bidi="ar-SA"/>
        </w:rPr>
        <w:t xml:space="preserve">The District’s </w:t>
      </w:r>
      <w:r w:rsidR="00C83A43">
        <w:rPr>
          <w:rFonts w:asciiTheme="minorHAnsi" w:hAnsiTheme="minorHAnsi" w:cs="Arial"/>
          <w:lang w:bidi="ar-SA"/>
        </w:rPr>
        <w:t xml:space="preserve">SOD </w:t>
      </w:r>
      <w:r w:rsidRPr="000F6F76">
        <w:rPr>
          <w:rFonts w:asciiTheme="minorHAnsi" w:hAnsiTheme="minorHAnsi" w:cs="Arial"/>
          <w:lang w:bidi="ar-SA"/>
        </w:rPr>
        <w:t xml:space="preserve">CVP </w:t>
      </w:r>
      <w:r w:rsidR="002E0D50">
        <w:rPr>
          <w:rFonts w:asciiTheme="minorHAnsi" w:hAnsiTheme="minorHAnsi" w:cs="Arial"/>
          <w:lang w:bidi="ar-SA"/>
        </w:rPr>
        <w:t>w</w:t>
      </w:r>
      <w:r w:rsidRPr="000F6F76">
        <w:rPr>
          <w:rFonts w:asciiTheme="minorHAnsi" w:hAnsiTheme="minorHAnsi" w:cs="Arial"/>
          <w:lang w:bidi="ar-SA"/>
        </w:rPr>
        <w:t xml:space="preserve">ater </w:t>
      </w:r>
      <w:r w:rsidR="00C83A43">
        <w:rPr>
          <w:rFonts w:asciiTheme="minorHAnsi" w:hAnsiTheme="minorHAnsi" w:cs="Arial"/>
          <w:lang w:bidi="ar-SA"/>
        </w:rPr>
        <w:t xml:space="preserve">contract is for up to 13,800 AF at 100% allocation. The 20-year average </w:t>
      </w:r>
      <w:r w:rsidR="00EC7068">
        <w:rPr>
          <w:rFonts w:asciiTheme="minorHAnsi" w:hAnsiTheme="minorHAnsi" w:cs="Arial"/>
          <w:lang w:bidi="ar-SA"/>
        </w:rPr>
        <w:t>SOD C</w:t>
      </w:r>
      <w:r w:rsidR="00C83A43">
        <w:rPr>
          <w:rFonts w:asciiTheme="minorHAnsi" w:hAnsiTheme="minorHAnsi" w:cs="Arial"/>
          <w:lang w:bidi="ar-SA"/>
        </w:rPr>
        <w:t>VP</w:t>
      </w:r>
      <w:r w:rsidR="00EC7068">
        <w:rPr>
          <w:rFonts w:asciiTheme="minorHAnsi" w:hAnsiTheme="minorHAnsi" w:cs="Arial"/>
          <w:lang w:bidi="ar-SA"/>
        </w:rPr>
        <w:t xml:space="preserve"> </w:t>
      </w:r>
      <w:r w:rsidR="00C83A43">
        <w:rPr>
          <w:rFonts w:asciiTheme="minorHAnsi" w:hAnsiTheme="minorHAnsi" w:cs="Arial"/>
          <w:lang w:bidi="ar-SA"/>
        </w:rPr>
        <w:t xml:space="preserve">allocation of 42% yields a normal year water supply of 5,796 AF. For </w:t>
      </w:r>
      <w:r w:rsidR="00082EA6">
        <w:rPr>
          <w:rFonts w:asciiTheme="minorHAnsi" w:hAnsiTheme="minorHAnsi" w:cs="Arial"/>
          <w:lang w:bidi="ar-SA"/>
        </w:rPr>
        <w:t xml:space="preserve">critically </w:t>
      </w:r>
      <w:r w:rsidR="00C83A43">
        <w:rPr>
          <w:rFonts w:asciiTheme="minorHAnsi" w:hAnsiTheme="minorHAnsi" w:cs="Arial"/>
          <w:lang w:bidi="ar-SA"/>
        </w:rPr>
        <w:t>dry year</w:t>
      </w:r>
      <w:r w:rsidR="001E2A6F">
        <w:rPr>
          <w:rFonts w:asciiTheme="minorHAnsi" w:hAnsiTheme="minorHAnsi" w:cs="Arial"/>
          <w:lang w:bidi="ar-SA"/>
        </w:rPr>
        <w:t xml:space="preserve"> projections</w:t>
      </w:r>
      <w:r w:rsidR="00C83A43">
        <w:rPr>
          <w:rFonts w:asciiTheme="minorHAnsi" w:hAnsiTheme="minorHAnsi" w:cs="Arial"/>
          <w:lang w:bidi="ar-SA"/>
        </w:rPr>
        <w:t>, a 0% allocation</w:t>
      </w:r>
      <w:r w:rsidR="002E0D50">
        <w:rPr>
          <w:rFonts w:asciiTheme="minorHAnsi" w:hAnsiTheme="minorHAnsi" w:cs="Arial"/>
          <w:lang w:bidi="ar-SA"/>
        </w:rPr>
        <w:t xml:space="preserve"> </w:t>
      </w:r>
      <w:r w:rsidR="00C83A43">
        <w:rPr>
          <w:rFonts w:asciiTheme="minorHAnsi" w:hAnsiTheme="minorHAnsi" w:cs="Arial"/>
          <w:lang w:bidi="ar-SA"/>
        </w:rPr>
        <w:t>was used.</w:t>
      </w:r>
    </w:p>
    <w:p w14:paraId="0B1B0830" w14:textId="086198BE" w:rsidR="00F27463" w:rsidRDefault="00C83A43" w:rsidP="000F6F76">
      <w:pPr>
        <w:pStyle w:val="BodyText0"/>
        <w:spacing w:before="100" w:beforeAutospacing="1" w:after="100" w:afterAutospacing="1"/>
        <w:rPr>
          <w:rFonts w:asciiTheme="minorHAnsi" w:hAnsiTheme="minorHAnsi" w:cs="Arial"/>
          <w:lang w:bidi="ar-SA"/>
        </w:rPr>
      </w:pPr>
      <w:r>
        <w:rPr>
          <w:rFonts w:asciiTheme="minorHAnsi" w:hAnsiTheme="minorHAnsi" w:cs="Arial"/>
          <w:lang w:bidi="ar-SA"/>
        </w:rPr>
        <w:t>The District’s</w:t>
      </w:r>
      <w:r w:rsidR="000F6F76" w:rsidRPr="000F6F76">
        <w:rPr>
          <w:rFonts w:asciiTheme="minorHAnsi" w:hAnsiTheme="minorHAnsi" w:cs="Arial"/>
          <w:lang w:bidi="ar-SA"/>
        </w:rPr>
        <w:t xml:space="preserve"> Kings River water (because the District is the last member agency on the Kings River) </w:t>
      </w:r>
      <w:r>
        <w:rPr>
          <w:rFonts w:asciiTheme="minorHAnsi" w:hAnsiTheme="minorHAnsi" w:cs="Arial"/>
          <w:lang w:bidi="ar-SA"/>
        </w:rPr>
        <w:t>is an</w:t>
      </w:r>
      <w:r w:rsidR="000F6F76" w:rsidRPr="000F6F76">
        <w:rPr>
          <w:rFonts w:asciiTheme="minorHAnsi" w:hAnsiTheme="minorHAnsi" w:cs="Arial"/>
          <w:lang w:bidi="ar-SA"/>
        </w:rPr>
        <w:t xml:space="preserve"> unreliable source of water, especially in dry periods when the District is heavily reliant on groundwater.</w:t>
      </w:r>
    </w:p>
    <w:p w14:paraId="1D371E38" w14:textId="390309A2" w:rsidR="000F6F76" w:rsidRDefault="000F6F76" w:rsidP="003B1BC2">
      <w:pPr>
        <w:pStyle w:val="Caption"/>
      </w:pPr>
      <w:bookmarkStart w:id="23" w:name="_Ref21354678"/>
      <w:bookmarkStart w:id="24" w:name="_Toc22047651"/>
      <w:bookmarkStart w:id="25" w:name="_Toc207913094"/>
      <w:r w:rsidRPr="000C50C1">
        <w:t xml:space="preserve">Table </w:t>
      </w:r>
      <w:fldSimple w:instr=" SEQ Table \* ARABIC ">
        <w:r w:rsidR="00C52B63">
          <w:rPr>
            <w:noProof/>
          </w:rPr>
          <w:t>1</w:t>
        </w:r>
      </w:fldSimple>
      <w:bookmarkEnd w:id="23"/>
      <w:r w:rsidRPr="000C50C1">
        <w:t xml:space="preserve">. USBR Scheduled Water Deliveries to </w:t>
      </w:r>
      <w:r w:rsidR="00E61964">
        <w:t>the District</w:t>
      </w:r>
      <w:r w:rsidR="00E61964" w:rsidRPr="000C50C1">
        <w:t xml:space="preserve"> </w:t>
      </w:r>
      <w:r w:rsidRPr="000C50C1">
        <w:t>(AF)</w:t>
      </w:r>
      <w:bookmarkEnd w:id="24"/>
      <w:bookmarkEnd w:id="25"/>
      <w:r w:rsidRPr="000C50C1">
        <w:t xml:space="preserve"> </w:t>
      </w:r>
    </w:p>
    <w:p w14:paraId="4D4FDECF" w14:textId="77777777" w:rsidR="000F6F76" w:rsidRPr="000F6F76" w:rsidRDefault="000F6F76" w:rsidP="000F6F7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502"/>
        <w:gridCol w:w="548"/>
        <w:gridCol w:w="671"/>
        <w:gridCol w:w="671"/>
        <w:gridCol w:w="716"/>
        <w:gridCol w:w="657"/>
        <w:gridCol w:w="705"/>
        <w:gridCol w:w="527"/>
        <w:gridCol w:w="521"/>
        <w:gridCol w:w="498"/>
        <w:gridCol w:w="537"/>
        <w:gridCol w:w="522"/>
        <w:gridCol w:w="772"/>
      </w:tblGrid>
      <w:tr w:rsidR="000F6F76" w:rsidRPr="000F6F76" w14:paraId="2BF67370" w14:textId="7BFF5DD3" w:rsidTr="000F6F76">
        <w:tc>
          <w:tcPr>
            <w:tcW w:w="0" w:type="auto"/>
            <w:tcBorders>
              <w:top w:val="single" w:sz="4" w:space="0" w:color="auto"/>
              <w:left w:val="single" w:sz="4" w:space="0" w:color="auto"/>
              <w:bottom w:val="single" w:sz="4" w:space="0" w:color="auto"/>
              <w:right w:val="single" w:sz="4" w:space="0" w:color="auto"/>
            </w:tcBorders>
            <w:hideMark/>
          </w:tcPr>
          <w:p w14:paraId="668F17AB" w14:textId="77777777" w:rsidR="000F6F76" w:rsidRPr="000F6F76" w:rsidRDefault="000F6F76" w:rsidP="00BF03EE">
            <w:pPr>
              <w:rPr>
                <w:b/>
                <w:bCs/>
                <w:sz w:val="20"/>
              </w:rPr>
            </w:pPr>
            <w:r w:rsidRPr="000F6F76">
              <w:rPr>
                <w:b/>
                <w:bCs/>
                <w:sz w:val="20"/>
              </w:rPr>
              <w:t>Hydrologic Year Type</w:t>
            </w:r>
          </w:p>
        </w:tc>
        <w:tc>
          <w:tcPr>
            <w:tcW w:w="0" w:type="auto"/>
            <w:tcBorders>
              <w:top w:val="single" w:sz="4" w:space="0" w:color="auto"/>
              <w:left w:val="single" w:sz="4" w:space="0" w:color="auto"/>
              <w:bottom w:val="single" w:sz="4" w:space="0" w:color="auto"/>
              <w:right w:val="single" w:sz="4" w:space="0" w:color="auto"/>
            </w:tcBorders>
            <w:vAlign w:val="bottom"/>
            <w:hideMark/>
          </w:tcPr>
          <w:p w14:paraId="1A8BE659" w14:textId="77777777" w:rsidR="000F6F76" w:rsidRPr="000F6F76" w:rsidRDefault="000F6F76" w:rsidP="00BF03EE">
            <w:pPr>
              <w:ind w:left="25"/>
              <w:jc w:val="center"/>
              <w:rPr>
                <w:b/>
                <w:bCs/>
                <w:sz w:val="20"/>
              </w:rPr>
            </w:pPr>
            <w:r w:rsidRPr="000F6F76">
              <w:rPr>
                <w:b/>
                <w:bCs/>
                <w:sz w:val="20"/>
              </w:rPr>
              <w:t>Jan</w:t>
            </w:r>
          </w:p>
        </w:tc>
        <w:tc>
          <w:tcPr>
            <w:tcW w:w="0" w:type="auto"/>
            <w:tcBorders>
              <w:top w:val="single" w:sz="4" w:space="0" w:color="auto"/>
              <w:left w:val="single" w:sz="4" w:space="0" w:color="auto"/>
              <w:bottom w:val="single" w:sz="4" w:space="0" w:color="auto"/>
              <w:right w:val="single" w:sz="4" w:space="0" w:color="auto"/>
            </w:tcBorders>
            <w:vAlign w:val="bottom"/>
            <w:hideMark/>
          </w:tcPr>
          <w:p w14:paraId="0410950A" w14:textId="77777777" w:rsidR="000F6F76" w:rsidRPr="000F6F76" w:rsidRDefault="000F6F76" w:rsidP="00BF03EE">
            <w:pPr>
              <w:ind w:left="27"/>
              <w:jc w:val="center"/>
              <w:rPr>
                <w:b/>
                <w:bCs/>
                <w:sz w:val="20"/>
              </w:rPr>
            </w:pPr>
            <w:r w:rsidRPr="000F6F76">
              <w:rPr>
                <w:b/>
                <w:bCs/>
                <w:sz w:val="20"/>
              </w:rPr>
              <w:t>Feb</w:t>
            </w:r>
          </w:p>
        </w:tc>
        <w:tc>
          <w:tcPr>
            <w:tcW w:w="0" w:type="auto"/>
            <w:tcBorders>
              <w:top w:val="single" w:sz="4" w:space="0" w:color="auto"/>
              <w:left w:val="single" w:sz="4" w:space="0" w:color="auto"/>
              <w:bottom w:val="single" w:sz="4" w:space="0" w:color="auto"/>
              <w:right w:val="single" w:sz="4" w:space="0" w:color="auto"/>
            </w:tcBorders>
            <w:vAlign w:val="bottom"/>
            <w:hideMark/>
          </w:tcPr>
          <w:p w14:paraId="0B3256A9" w14:textId="77777777" w:rsidR="000F6F76" w:rsidRPr="000F6F76" w:rsidRDefault="000F6F76" w:rsidP="00BF03EE">
            <w:pPr>
              <w:jc w:val="center"/>
              <w:rPr>
                <w:b/>
                <w:bCs/>
                <w:sz w:val="20"/>
              </w:rPr>
            </w:pPr>
            <w:r w:rsidRPr="000F6F76">
              <w:rPr>
                <w:b/>
                <w:bCs/>
                <w:sz w:val="20"/>
              </w:rPr>
              <w:t>Mar</w:t>
            </w:r>
          </w:p>
        </w:tc>
        <w:tc>
          <w:tcPr>
            <w:tcW w:w="0" w:type="auto"/>
            <w:tcBorders>
              <w:top w:val="single" w:sz="4" w:space="0" w:color="auto"/>
              <w:left w:val="single" w:sz="4" w:space="0" w:color="auto"/>
              <w:bottom w:val="single" w:sz="4" w:space="0" w:color="auto"/>
              <w:right w:val="single" w:sz="4" w:space="0" w:color="auto"/>
            </w:tcBorders>
            <w:vAlign w:val="bottom"/>
            <w:hideMark/>
          </w:tcPr>
          <w:p w14:paraId="25334373" w14:textId="77777777" w:rsidR="000F6F76" w:rsidRPr="000F6F76" w:rsidRDefault="000F6F76" w:rsidP="00BF03EE">
            <w:pPr>
              <w:jc w:val="center"/>
              <w:rPr>
                <w:b/>
                <w:bCs/>
                <w:sz w:val="20"/>
              </w:rPr>
            </w:pPr>
            <w:r w:rsidRPr="000F6F76">
              <w:rPr>
                <w:b/>
                <w:bCs/>
                <w:sz w:val="20"/>
              </w:rPr>
              <w:t>Apr</w:t>
            </w:r>
          </w:p>
        </w:tc>
        <w:tc>
          <w:tcPr>
            <w:tcW w:w="0" w:type="auto"/>
            <w:tcBorders>
              <w:top w:val="single" w:sz="4" w:space="0" w:color="auto"/>
              <w:left w:val="single" w:sz="4" w:space="0" w:color="auto"/>
              <w:bottom w:val="single" w:sz="4" w:space="0" w:color="auto"/>
              <w:right w:val="single" w:sz="4" w:space="0" w:color="auto"/>
            </w:tcBorders>
            <w:vAlign w:val="bottom"/>
            <w:hideMark/>
          </w:tcPr>
          <w:p w14:paraId="3AAF5324" w14:textId="77777777" w:rsidR="000F6F76" w:rsidRPr="000F6F76" w:rsidRDefault="000F6F76" w:rsidP="00BF03EE">
            <w:pPr>
              <w:ind w:left="28" w:hanging="35"/>
              <w:jc w:val="center"/>
              <w:rPr>
                <w:b/>
                <w:bCs/>
                <w:sz w:val="20"/>
              </w:rPr>
            </w:pPr>
            <w:r w:rsidRPr="000F6F76">
              <w:rPr>
                <w:b/>
                <w:bCs/>
                <w:sz w:val="20"/>
              </w:rPr>
              <w:t>May</w:t>
            </w:r>
          </w:p>
        </w:tc>
        <w:tc>
          <w:tcPr>
            <w:tcW w:w="0" w:type="auto"/>
            <w:tcBorders>
              <w:top w:val="single" w:sz="4" w:space="0" w:color="auto"/>
              <w:left w:val="single" w:sz="4" w:space="0" w:color="auto"/>
              <w:bottom w:val="single" w:sz="4" w:space="0" w:color="auto"/>
              <w:right w:val="single" w:sz="4" w:space="0" w:color="auto"/>
            </w:tcBorders>
            <w:vAlign w:val="bottom"/>
            <w:hideMark/>
          </w:tcPr>
          <w:p w14:paraId="7315670A" w14:textId="77777777" w:rsidR="000F6F76" w:rsidRPr="000F6F76" w:rsidRDefault="000F6F76" w:rsidP="00BF03EE">
            <w:pPr>
              <w:ind w:left="-78" w:firstLine="12"/>
              <w:jc w:val="center"/>
              <w:rPr>
                <w:b/>
                <w:bCs/>
                <w:sz w:val="20"/>
              </w:rPr>
            </w:pPr>
            <w:r w:rsidRPr="000F6F76">
              <w:rPr>
                <w:b/>
                <w:bCs/>
                <w:sz w:val="20"/>
              </w:rPr>
              <w:t>Jun</w:t>
            </w:r>
          </w:p>
        </w:tc>
        <w:tc>
          <w:tcPr>
            <w:tcW w:w="0" w:type="auto"/>
            <w:tcBorders>
              <w:top w:val="single" w:sz="4" w:space="0" w:color="auto"/>
              <w:left w:val="single" w:sz="4" w:space="0" w:color="auto"/>
              <w:bottom w:val="single" w:sz="4" w:space="0" w:color="auto"/>
              <w:right w:val="single" w:sz="4" w:space="0" w:color="auto"/>
            </w:tcBorders>
            <w:vAlign w:val="bottom"/>
            <w:hideMark/>
          </w:tcPr>
          <w:p w14:paraId="171ED81B" w14:textId="77777777" w:rsidR="000F6F76" w:rsidRPr="000F6F76" w:rsidRDefault="000F6F76" w:rsidP="00BF03EE">
            <w:pPr>
              <w:ind w:hanging="18"/>
              <w:jc w:val="center"/>
              <w:rPr>
                <w:b/>
                <w:bCs/>
                <w:sz w:val="20"/>
              </w:rPr>
            </w:pPr>
            <w:r w:rsidRPr="000F6F76">
              <w:rPr>
                <w:b/>
                <w:bCs/>
                <w:sz w:val="20"/>
              </w:rPr>
              <w:t>Jul</w:t>
            </w:r>
          </w:p>
        </w:tc>
        <w:tc>
          <w:tcPr>
            <w:tcW w:w="0" w:type="auto"/>
            <w:tcBorders>
              <w:top w:val="single" w:sz="4" w:space="0" w:color="auto"/>
              <w:left w:val="single" w:sz="4" w:space="0" w:color="auto"/>
              <w:bottom w:val="single" w:sz="4" w:space="0" w:color="auto"/>
              <w:right w:val="single" w:sz="4" w:space="0" w:color="auto"/>
            </w:tcBorders>
            <w:vAlign w:val="bottom"/>
            <w:hideMark/>
          </w:tcPr>
          <w:p w14:paraId="155545D3" w14:textId="77777777" w:rsidR="000F6F76" w:rsidRPr="000F6F76" w:rsidRDefault="000F6F76" w:rsidP="00BF03EE">
            <w:pPr>
              <w:jc w:val="center"/>
              <w:rPr>
                <w:b/>
                <w:bCs/>
                <w:sz w:val="20"/>
              </w:rPr>
            </w:pPr>
            <w:r w:rsidRPr="000F6F76">
              <w:rPr>
                <w:b/>
                <w:bCs/>
                <w:sz w:val="20"/>
              </w:rPr>
              <w:t>Aug</w:t>
            </w:r>
          </w:p>
        </w:tc>
        <w:tc>
          <w:tcPr>
            <w:tcW w:w="0" w:type="auto"/>
            <w:tcBorders>
              <w:top w:val="single" w:sz="4" w:space="0" w:color="auto"/>
              <w:left w:val="single" w:sz="4" w:space="0" w:color="auto"/>
              <w:bottom w:val="single" w:sz="4" w:space="0" w:color="auto"/>
              <w:right w:val="single" w:sz="4" w:space="0" w:color="auto"/>
            </w:tcBorders>
            <w:vAlign w:val="bottom"/>
            <w:hideMark/>
          </w:tcPr>
          <w:p w14:paraId="0364641B" w14:textId="77777777" w:rsidR="000F6F76" w:rsidRPr="000F6F76" w:rsidRDefault="000F6F76" w:rsidP="00BF03EE">
            <w:pPr>
              <w:jc w:val="center"/>
              <w:rPr>
                <w:b/>
                <w:bCs/>
                <w:sz w:val="20"/>
              </w:rPr>
            </w:pPr>
            <w:r w:rsidRPr="000F6F76">
              <w:rPr>
                <w:b/>
                <w:bCs/>
                <w:sz w:val="20"/>
              </w:rPr>
              <w:t>Sep</w:t>
            </w:r>
          </w:p>
        </w:tc>
        <w:tc>
          <w:tcPr>
            <w:tcW w:w="0" w:type="auto"/>
            <w:tcBorders>
              <w:top w:val="single" w:sz="4" w:space="0" w:color="auto"/>
              <w:left w:val="single" w:sz="4" w:space="0" w:color="auto"/>
              <w:bottom w:val="single" w:sz="4" w:space="0" w:color="auto"/>
              <w:right w:val="single" w:sz="4" w:space="0" w:color="auto"/>
            </w:tcBorders>
            <w:vAlign w:val="bottom"/>
            <w:hideMark/>
          </w:tcPr>
          <w:p w14:paraId="3D6118FB" w14:textId="77777777" w:rsidR="000F6F76" w:rsidRPr="000F6F76" w:rsidRDefault="000F6F76" w:rsidP="00BF03EE">
            <w:pPr>
              <w:jc w:val="center"/>
              <w:rPr>
                <w:b/>
                <w:bCs/>
                <w:sz w:val="20"/>
              </w:rPr>
            </w:pPr>
            <w:r w:rsidRPr="000F6F76">
              <w:rPr>
                <w:b/>
                <w:bCs/>
                <w:sz w:val="20"/>
              </w:rPr>
              <w:t>Oct</w:t>
            </w:r>
          </w:p>
        </w:tc>
        <w:tc>
          <w:tcPr>
            <w:tcW w:w="0" w:type="auto"/>
            <w:tcBorders>
              <w:top w:val="single" w:sz="4" w:space="0" w:color="auto"/>
              <w:left w:val="single" w:sz="4" w:space="0" w:color="auto"/>
              <w:bottom w:val="single" w:sz="4" w:space="0" w:color="auto"/>
              <w:right w:val="single" w:sz="4" w:space="0" w:color="auto"/>
            </w:tcBorders>
            <w:vAlign w:val="bottom"/>
            <w:hideMark/>
          </w:tcPr>
          <w:p w14:paraId="51081F5D" w14:textId="77777777" w:rsidR="000F6F76" w:rsidRPr="000F6F76" w:rsidRDefault="000F6F76" w:rsidP="00BF03EE">
            <w:pPr>
              <w:jc w:val="center"/>
              <w:rPr>
                <w:b/>
                <w:bCs/>
                <w:sz w:val="20"/>
              </w:rPr>
            </w:pPr>
            <w:r w:rsidRPr="000F6F76">
              <w:rPr>
                <w:b/>
                <w:bCs/>
                <w:sz w:val="20"/>
              </w:rPr>
              <w:t>Nov</w:t>
            </w:r>
          </w:p>
        </w:tc>
        <w:tc>
          <w:tcPr>
            <w:tcW w:w="0" w:type="auto"/>
            <w:tcBorders>
              <w:top w:val="single" w:sz="4" w:space="0" w:color="auto"/>
              <w:left w:val="single" w:sz="4" w:space="0" w:color="auto"/>
              <w:bottom w:val="single" w:sz="4" w:space="0" w:color="auto"/>
              <w:right w:val="single" w:sz="4" w:space="0" w:color="auto"/>
            </w:tcBorders>
            <w:vAlign w:val="bottom"/>
            <w:hideMark/>
          </w:tcPr>
          <w:p w14:paraId="3FA805E2" w14:textId="77777777" w:rsidR="000F6F76" w:rsidRPr="000F6F76" w:rsidRDefault="000F6F76" w:rsidP="00BF03EE">
            <w:pPr>
              <w:jc w:val="center"/>
              <w:rPr>
                <w:b/>
                <w:bCs/>
                <w:sz w:val="20"/>
              </w:rPr>
            </w:pPr>
            <w:r w:rsidRPr="000F6F76">
              <w:rPr>
                <w:b/>
                <w:bCs/>
                <w:sz w:val="20"/>
              </w:rPr>
              <w:t>Dec</w:t>
            </w:r>
          </w:p>
        </w:tc>
        <w:tc>
          <w:tcPr>
            <w:tcW w:w="0" w:type="auto"/>
            <w:tcBorders>
              <w:top w:val="single" w:sz="4" w:space="0" w:color="auto"/>
              <w:left w:val="single" w:sz="4" w:space="0" w:color="auto"/>
              <w:bottom w:val="single" w:sz="4" w:space="0" w:color="auto"/>
              <w:right w:val="single" w:sz="4" w:space="0" w:color="auto"/>
            </w:tcBorders>
          </w:tcPr>
          <w:p w14:paraId="0841EB90" w14:textId="77777777" w:rsidR="000F6F76" w:rsidRPr="000F6F76" w:rsidRDefault="000F6F76" w:rsidP="00BF03EE">
            <w:pPr>
              <w:jc w:val="center"/>
              <w:rPr>
                <w:b/>
                <w:bCs/>
                <w:sz w:val="20"/>
              </w:rPr>
            </w:pPr>
          </w:p>
          <w:p w14:paraId="0EBF6C47" w14:textId="0D1996BD" w:rsidR="000F6F76" w:rsidRPr="000F6F76" w:rsidRDefault="000F6F76" w:rsidP="00BF03EE">
            <w:pPr>
              <w:jc w:val="center"/>
              <w:rPr>
                <w:b/>
                <w:bCs/>
                <w:sz w:val="20"/>
              </w:rPr>
            </w:pPr>
            <w:r w:rsidRPr="000F6F76">
              <w:rPr>
                <w:b/>
                <w:bCs/>
                <w:sz w:val="20"/>
              </w:rPr>
              <w:t>Total</w:t>
            </w:r>
          </w:p>
        </w:tc>
      </w:tr>
      <w:tr w:rsidR="000F6F76" w14:paraId="2EECBE1F" w14:textId="60A9A6C0" w:rsidTr="000F6F76">
        <w:tc>
          <w:tcPr>
            <w:tcW w:w="0" w:type="auto"/>
            <w:tcBorders>
              <w:top w:val="single" w:sz="4" w:space="0" w:color="auto"/>
              <w:left w:val="single" w:sz="4" w:space="0" w:color="auto"/>
              <w:bottom w:val="single" w:sz="4" w:space="0" w:color="auto"/>
              <w:right w:val="single" w:sz="4" w:space="0" w:color="auto"/>
            </w:tcBorders>
            <w:hideMark/>
          </w:tcPr>
          <w:p w14:paraId="28B75C57" w14:textId="77777777" w:rsidR="000F6F76" w:rsidRDefault="000F6F76" w:rsidP="00BF03EE">
            <w:pPr>
              <w:rPr>
                <w:sz w:val="20"/>
              </w:rPr>
            </w:pPr>
            <w:r>
              <w:rPr>
                <w:sz w:val="20"/>
              </w:rPr>
              <w:t>Normal</w:t>
            </w:r>
          </w:p>
        </w:tc>
        <w:tc>
          <w:tcPr>
            <w:tcW w:w="0" w:type="auto"/>
            <w:tcBorders>
              <w:top w:val="single" w:sz="4" w:space="0" w:color="auto"/>
              <w:left w:val="single" w:sz="4" w:space="0" w:color="auto"/>
              <w:bottom w:val="single" w:sz="4" w:space="0" w:color="auto"/>
              <w:right w:val="single" w:sz="4" w:space="0" w:color="auto"/>
            </w:tcBorders>
            <w:hideMark/>
          </w:tcPr>
          <w:p w14:paraId="1D5E487B" w14:textId="77777777" w:rsidR="000F6F76" w:rsidRDefault="000F6F76" w:rsidP="00BF03EE">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450F461D" w14:textId="77777777" w:rsidR="000F6F76" w:rsidRDefault="000F6F76" w:rsidP="00BF03EE">
            <w:pPr>
              <w:ind w:left="27"/>
              <w:jc w:val="center"/>
              <w:rPr>
                <w:sz w:val="20"/>
              </w:rPr>
            </w:pPr>
            <w:r>
              <w:rPr>
                <w:sz w:val="20"/>
              </w:rPr>
              <w:t>400</w:t>
            </w:r>
          </w:p>
        </w:tc>
        <w:tc>
          <w:tcPr>
            <w:tcW w:w="0" w:type="auto"/>
            <w:tcBorders>
              <w:top w:val="single" w:sz="4" w:space="0" w:color="auto"/>
              <w:left w:val="single" w:sz="4" w:space="0" w:color="auto"/>
              <w:bottom w:val="single" w:sz="4" w:space="0" w:color="auto"/>
              <w:right w:val="single" w:sz="4" w:space="0" w:color="auto"/>
            </w:tcBorders>
            <w:hideMark/>
          </w:tcPr>
          <w:p w14:paraId="76019F8C" w14:textId="36CCF4CE" w:rsidR="000F6F76" w:rsidRDefault="000F6F76" w:rsidP="00BF03EE">
            <w:pPr>
              <w:jc w:val="center"/>
              <w:rPr>
                <w:sz w:val="20"/>
              </w:rPr>
            </w:pPr>
            <w:r>
              <w:rPr>
                <w:sz w:val="20"/>
              </w:rPr>
              <w:t>1,300</w:t>
            </w:r>
          </w:p>
        </w:tc>
        <w:tc>
          <w:tcPr>
            <w:tcW w:w="0" w:type="auto"/>
            <w:tcBorders>
              <w:top w:val="single" w:sz="4" w:space="0" w:color="auto"/>
              <w:left w:val="single" w:sz="4" w:space="0" w:color="auto"/>
              <w:bottom w:val="single" w:sz="4" w:space="0" w:color="auto"/>
              <w:right w:val="single" w:sz="4" w:space="0" w:color="auto"/>
            </w:tcBorders>
            <w:hideMark/>
          </w:tcPr>
          <w:p w14:paraId="3752B5F8" w14:textId="276DA9E3" w:rsidR="000F6F76" w:rsidRDefault="000F6F76" w:rsidP="00BF03EE">
            <w:pPr>
              <w:jc w:val="center"/>
              <w:rPr>
                <w:sz w:val="20"/>
              </w:rPr>
            </w:pPr>
            <w:r>
              <w:rPr>
                <w:sz w:val="20"/>
              </w:rPr>
              <w:t>2,900</w:t>
            </w:r>
          </w:p>
        </w:tc>
        <w:tc>
          <w:tcPr>
            <w:tcW w:w="0" w:type="auto"/>
            <w:tcBorders>
              <w:top w:val="single" w:sz="4" w:space="0" w:color="auto"/>
              <w:left w:val="single" w:sz="4" w:space="0" w:color="auto"/>
              <w:bottom w:val="single" w:sz="4" w:space="0" w:color="auto"/>
              <w:right w:val="single" w:sz="4" w:space="0" w:color="auto"/>
            </w:tcBorders>
            <w:hideMark/>
          </w:tcPr>
          <w:p w14:paraId="7B1BCB86" w14:textId="351B2569" w:rsidR="000F6F76" w:rsidRDefault="000F6F76" w:rsidP="00BF03EE">
            <w:pPr>
              <w:ind w:left="28" w:hanging="35"/>
              <w:jc w:val="center"/>
              <w:rPr>
                <w:sz w:val="20"/>
              </w:rPr>
            </w:pPr>
            <w:r>
              <w:rPr>
                <w:sz w:val="20"/>
              </w:rPr>
              <w:t>4,700</w:t>
            </w:r>
          </w:p>
        </w:tc>
        <w:tc>
          <w:tcPr>
            <w:tcW w:w="0" w:type="auto"/>
            <w:tcBorders>
              <w:top w:val="single" w:sz="4" w:space="0" w:color="auto"/>
              <w:left w:val="single" w:sz="4" w:space="0" w:color="auto"/>
              <w:bottom w:val="single" w:sz="4" w:space="0" w:color="auto"/>
              <w:right w:val="single" w:sz="4" w:space="0" w:color="auto"/>
            </w:tcBorders>
            <w:hideMark/>
          </w:tcPr>
          <w:p w14:paraId="745BCB1D" w14:textId="29A37B5F" w:rsidR="000F6F76" w:rsidRDefault="000F6F76" w:rsidP="00BF03EE">
            <w:pPr>
              <w:ind w:left="-78" w:firstLine="12"/>
              <w:jc w:val="center"/>
              <w:rPr>
                <w:sz w:val="20"/>
              </w:rPr>
            </w:pPr>
            <w:r>
              <w:rPr>
                <w:sz w:val="20"/>
              </w:rPr>
              <w:t>6,900</w:t>
            </w:r>
          </w:p>
        </w:tc>
        <w:tc>
          <w:tcPr>
            <w:tcW w:w="0" w:type="auto"/>
            <w:tcBorders>
              <w:top w:val="single" w:sz="4" w:space="0" w:color="auto"/>
              <w:left w:val="single" w:sz="4" w:space="0" w:color="auto"/>
              <w:bottom w:val="single" w:sz="4" w:space="0" w:color="auto"/>
              <w:right w:val="single" w:sz="4" w:space="0" w:color="auto"/>
            </w:tcBorders>
            <w:hideMark/>
          </w:tcPr>
          <w:p w14:paraId="008C060F" w14:textId="7FC0B6E3" w:rsidR="000F6F76" w:rsidRDefault="000F6F76" w:rsidP="00BF03EE">
            <w:pPr>
              <w:ind w:hanging="18"/>
              <w:jc w:val="center"/>
              <w:rPr>
                <w:sz w:val="20"/>
              </w:rPr>
            </w:pPr>
            <w:r>
              <w:rPr>
                <w:sz w:val="20"/>
              </w:rPr>
              <w:t>3,400</w:t>
            </w:r>
          </w:p>
        </w:tc>
        <w:tc>
          <w:tcPr>
            <w:tcW w:w="0" w:type="auto"/>
            <w:tcBorders>
              <w:top w:val="single" w:sz="4" w:space="0" w:color="auto"/>
              <w:left w:val="single" w:sz="4" w:space="0" w:color="auto"/>
              <w:bottom w:val="single" w:sz="4" w:space="0" w:color="auto"/>
              <w:right w:val="single" w:sz="4" w:space="0" w:color="auto"/>
            </w:tcBorders>
            <w:hideMark/>
          </w:tcPr>
          <w:p w14:paraId="16D11DEE" w14:textId="77777777" w:rsidR="000F6F76" w:rsidRDefault="000F6F76" w:rsidP="00BF03EE">
            <w:pPr>
              <w:jc w:val="center"/>
              <w:rPr>
                <w:sz w:val="20"/>
              </w:rPr>
            </w:pPr>
            <w:r>
              <w:rPr>
                <w:sz w:val="20"/>
              </w:rPr>
              <w:t>400</w:t>
            </w:r>
          </w:p>
        </w:tc>
        <w:tc>
          <w:tcPr>
            <w:tcW w:w="0" w:type="auto"/>
            <w:tcBorders>
              <w:top w:val="single" w:sz="4" w:space="0" w:color="auto"/>
              <w:left w:val="single" w:sz="4" w:space="0" w:color="auto"/>
              <w:bottom w:val="single" w:sz="4" w:space="0" w:color="auto"/>
              <w:right w:val="single" w:sz="4" w:space="0" w:color="auto"/>
            </w:tcBorders>
            <w:hideMark/>
          </w:tcPr>
          <w:p w14:paraId="6F75FAF1" w14:textId="77777777" w:rsidR="000F6F76" w:rsidRDefault="000F6F76" w:rsidP="00BF03EE">
            <w:pPr>
              <w:jc w:val="center"/>
              <w:rPr>
                <w:sz w:val="20"/>
              </w:rPr>
            </w:pPr>
            <w:r>
              <w:rPr>
                <w:sz w:val="20"/>
              </w:rPr>
              <w:t>200</w:t>
            </w:r>
          </w:p>
        </w:tc>
        <w:tc>
          <w:tcPr>
            <w:tcW w:w="0" w:type="auto"/>
            <w:tcBorders>
              <w:top w:val="single" w:sz="4" w:space="0" w:color="auto"/>
              <w:left w:val="single" w:sz="4" w:space="0" w:color="auto"/>
              <w:bottom w:val="single" w:sz="4" w:space="0" w:color="auto"/>
              <w:right w:val="single" w:sz="4" w:space="0" w:color="auto"/>
            </w:tcBorders>
            <w:hideMark/>
          </w:tcPr>
          <w:p w14:paraId="1C28DFD5" w14:textId="77777777" w:rsidR="000F6F76" w:rsidRDefault="000F6F76" w:rsidP="00BF03EE">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671FBC61" w14:textId="77777777" w:rsidR="000F6F76" w:rsidRDefault="000F6F76" w:rsidP="00BF03EE">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478AB273" w14:textId="77777777" w:rsidR="000F6F76" w:rsidRDefault="000F6F76" w:rsidP="00BF03EE">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676EEE1D" w14:textId="6C9FE34E" w:rsidR="000F6F76" w:rsidRDefault="000F6F76" w:rsidP="00BF03EE">
            <w:pPr>
              <w:jc w:val="center"/>
              <w:rPr>
                <w:sz w:val="20"/>
              </w:rPr>
            </w:pPr>
            <w:r>
              <w:rPr>
                <w:sz w:val="20"/>
              </w:rPr>
              <w:t>20,200</w:t>
            </w:r>
          </w:p>
        </w:tc>
      </w:tr>
      <w:tr w:rsidR="000F6F76" w14:paraId="15EAF538" w14:textId="25B1AAA0" w:rsidTr="000F6F76">
        <w:tc>
          <w:tcPr>
            <w:tcW w:w="0" w:type="auto"/>
            <w:tcBorders>
              <w:top w:val="single" w:sz="4" w:space="0" w:color="auto"/>
              <w:left w:val="single" w:sz="4" w:space="0" w:color="auto"/>
              <w:bottom w:val="single" w:sz="4" w:space="0" w:color="auto"/>
              <w:right w:val="single" w:sz="4" w:space="0" w:color="auto"/>
            </w:tcBorders>
            <w:hideMark/>
          </w:tcPr>
          <w:p w14:paraId="4B4664A8" w14:textId="1CF0B52C" w:rsidR="000F6F76" w:rsidRDefault="00082EA6" w:rsidP="00BF03EE">
            <w:pPr>
              <w:rPr>
                <w:sz w:val="20"/>
              </w:rPr>
            </w:pPr>
            <w:r>
              <w:rPr>
                <w:sz w:val="20"/>
              </w:rPr>
              <w:t xml:space="preserve">Critically </w:t>
            </w:r>
            <w:r w:rsidR="000F6F76">
              <w:rPr>
                <w:sz w:val="20"/>
              </w:rPr>
              <w:t>Dry</w:t>
            </w:r>
          </w:p>
        </w:tc>
        <w:tc>
          <w:tcPr>
            <w:tcW w:w="0" w:type="auto"/>
            <w:tcBorders>
              <w:top w:val="single" w:sz="4" w:space="0" w:color="auto"/>
              <w:left w:val="single" w:sz="4" w:space="0" w:color="auto"/>
              <w:bottom w:val="single" w:sz="4" w:space="0" w:color="auto"/>
              <w:right w:val="single" w:sz="4" w:space="0" w:color="auto"/>
            </w:tcBorders>
            <w:hideMark/>
          </w:tcPr>
          <w:p w14:paraId="6690601D" w14:textId="77777777" w:rsidR="000F6F76" w:rsidRDefault="000F6F76" w:rsidP="00BF03EE">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4BC425A1" w14:textId="77777777" w:rsidR="000F6F76" w:rsidRDefault="000F6F76" w:rsidP="00BF03EE">
            <w:pPr>
              <w:ind w:left="27"/>
              <w:jc w:val="center"/>
              <w:rPr>
                <w:sz w:val="20"/>
              </w:rPr>
            </w:pPr>
            <w:r>
              <w:rPr>
                <w:sz w:val="20"/>
              </w:rPr>
              <w:t>400</w:t>
            </w:r>
          </w:p>
        </w:tc>
        <w:tc>
          <w:tcPr>
            <w:tcW w:w="0" w:type="auto"/>
            <w:tcBorders>
              <w:top w:val="single" w:sz="4" w:space="0" w:color="auto"/>
              <w:left w:val="single" w:sz="4" w:space="0" w:color="auto"/>
              <w:bottom w:val="single" w:sz="4" w:space="0" w:color="auto"/>
              <w:right w:val="single" w:sz="4" w:space="0" w:color="auto"/>
            </w:tcBorders>
            <w:hideMark/>
          </w:tcPr>
          <w:p w14:paraId="3EE47D4F" w14:textId="6FD84140" w:rsidR="000F6F76" w:rsidRDefault="000F6F76" w:rsidP="00BF03EE">
            <w:pPr>
              <w:jc w:val="center"/>
              <w:rPr>
                <w:sz w:val="20"/>
              </w:rPr>
            </w:pPr>
            <w:r>
              <w:rPr>
                <w:sz w:val="20"/>
              </w:rPr>
              <w:t>1,300</w:t>
            </w:r>
          </w:p>
        </w:tc>
        <w:tc>
          <w:tcPr>
            <w:tcW w:w="0" w:type="auto"/>
            <w:tcBorders>
              <w:top w:val="single" w:sz="4" w:space="0" w:color="auto"/>
              <w:left w:val="single" w:sz="4" w:space="0" w:color="auto"/>
              <w:bottom w:val="single" w:sz="4" w:space="0" w:color="auto"/>
              <w:right w:val="single" w:sz="4" w:space="0" w:color="auto"/>
            </w:tcBorders>
            <w:hideMark/>
          </w:tcPr>
          <w:p w14:paraId="5EA82826" w14:textId="554A88C4" w:rsidR="000F6F76" w:rsidRDefault="000F6F76" w:rsidP="00BF03EE">
            <w:pPr>
              <w:jc w:val="center"/>
              <w:rPr>
                <w:sz w:val="20"/>
              </w:rPr>
            </w:pPr>
            <w:r>
              <w:rPr>
                <w:sz w:val="20"/>
              </w:rPr>
              <w:t>2,100</w:t>
            </w:r>
          </w:p>
        </w:tc>
        <w:tc>
          <w:tcPr>
            <w:tcW w:w="0" w:type="auto"/>
            <w:tcBorders>
              <w:top w:val="single" w:sz="4" w:space="0" w:color="auto"/>
              <w:left w:val="single" w:sz="4" w:space="0" w:color="auto"/>
              <w:bottom w:val="single" w:sz="4" w:space="0" w:color="auto"/>
              <w:right w:val="single" w:sz="4" w:space="0" w:color="auto"/>
            </w:tcBorders>
            <w:hideMark/>
          </w:tcPr>
          <w:p w14:paraId="74191B95" w14:textId="6D76EC9B" w:rsidR="000F6F76" w:rsidRDefault="000F6F76" w:rsidP="00BF03EE">
            <w:pPr>
              <w:ind w:left="28" w:hanging="35"/>
              <w:jc w:val="center"/>
              <w:rPr>
                <w:sz w:val="20"/>
              </w:rPr>
            </w:pPr>
            <w:r>
              <w:rPr>
                <w:sz w:val="20"/>
              </w:rPr>
              <w:t>3,800</w:t>
            </w:r>
          </w:p>
        </w:tc>
        <w:tc>
          <w:tcPr>
            <w:tcW w:w="0" w:type="auto"/>
            <w:tcBorders>
              <w:top w:val="single" w:sz="4" w:space="0" w:color="auto"/>
              <w:left w:val="single" w:sz="4" w:space="0" w:color="auto"/>
              <w:bottom w:val="single" w:sz="4" w:space="0" w:color="auto"/>
              <w:right w:val="single" w:sz="4" w:space="0" w:color="auto"/>
            </w:tcBorders>
            <w:hideMark/>
          </w:tcPr>
          <w:p w14:paraId="024424E9" w14:textId="065FF0BF" w:rsidR="000F6F76" w:rsidRDefault="000F6F76" w:rsidP="00BF03EE">
            <w:pPr>
              <w:ind w:left="-78" w:firstLine="12"/>
              <w:jc w:val="center"/>
              <w:rPr>
                <w:sz w:val="20"/>
              </w:rPr>
            </w:pPr>
            <w:r>
              <w:rPr>
                <w:sz w:val="20"/>
              </w:rPr>
              <w:t>5,200</w:t>
            </w:r>
          </w:p>
        </w:tc>
        <w:tc>
          <w:tcPr>
            <w:tcW w:w="0" w:type="auto"/>
            <w:tcBorders>
              <w:top w:val="single" w:sz="4" w:space="0" w:color="auto"/>
              <w:left w:val="single" w:sz="4" w:space="0" w:color="auto"/>
              <w:bottom w:val="single" w:sz="4" w:space="0" w:color="auto"/>
              <w:right w:val="single" w:sz="4" w:space="0" w:color="auto"/>
            </w:tcBorders>
            <w:hideMark/>
          </w:tcPr>
          <w:p w14:paraId="0B48A2D7" w14:textId="1F351854" w:rsidR="000F6F76" w:rsidRDefault="000F6F76" w:rsidP="00BF03EE">
            <w:pPr>
              <w:ind w:hanging="18"/>
              <w:jc w:val="center"/>
              <w:rPr>
                <w:sz w:val="20"/>
              </w:rPr>
            </w:pPr>
            <w:r>
              <w:rPr>
                <w:sz w:val="20"/>
              </w:rPr>
              <w:t>2,500</w:t>
            </w:r>
          </w:p>
        </w:tc>
        <w:tc>
          <w:tcPr>
            <w:tcW w:w="0" w:type="auto"/>
            <w:tcBorders>
              <w:top w:val="single" w:sz="4" w:space="0" w:color="auto"/>
              <w:left w:val="single" w:sz="4" w:space="0" w:color="auto"/>
              <w:bottom w:val="single" w:sz="4" w:space="0" w:color="auto"/>
              <w:right w:val="single" w:sz="4" w:space="0" w:color="auto"/>
            </w:tcBorders>
            <w:hideMark/>
          </w:tcPr>
          <w:p w14:paraId="7C9BBB51" w14:textId="77777777" w:rsidR="000F6F76" w:rsidRDefault="000F6F76" w:rsidP="00BF03EE">
            <w:pPr>
              <w:jc w:val="center"/>
              <w:rPr>
                <w:sz w:val="20"/>
              </w:rPr>
            </w:pPr>
            <w:r>
              <w:rPr>
                <w:sz w:val="20"/>
              </w:rPr>
              <w:t>300</w:t>
            </w:r>
          </w:p>
        </w:tc>
        <w:tc>
          <w:tcPr>
            <w:tcW w:w="0" w:type="auto"/>
            <w:tcBorders>
              <w:top w:val="single" w:sz="4" w:space="0" w:color="auto"/>
              <w:left w:val="single" w:sz="4" w:space="0" w:color="auto"/>
              <w:bottom w:val="single" w:sz="4" w:space="0" w:color="auto"/>
              <w:right w:val="single" w:sz="4" w:space="0" w:color="auto"/>
            </w:tcBorders>
            <w:hideMark/>
          </w:tcPr>
          <w:p w14:paraId="7D6DFF82" w14:textId="77777777" w:rsidR="000F6F76" w:rsidRDefault="000F6F76" w:rsidP="00BF03EE">
            <w:pPr>
              <w:jc w:val="center"/>
              <w:rPr>
                <w:sz w:val="20"/>
              </w:rPr>
            </w:pPr>
            <w:r>
              <w:rPr>
                <w:sz w:val="20"/>
              </w:rPr>
              <w:t>100</w:t>
            </w:r>
          </w:p>
        </w:tc>
        <w:tc>
          <w:tcPr>
            <w:tcW w:w="0" w:type="auto"/>
            <w:tcBorders>
              <w:top w:val="single" w:sz="4" w:space="0" w:color="auto"/>
              <w:left w:val="single" w:sz="4" w:space="0" w:color="auto"/>
              <w:bottom w:val="single" w:sz="4" w:space="0" w:color="auto"/>
              <w:right w:val="single" w:sz="4" w:space="0" w:color="auto"/>
            </w:tcBorders>
            <w:hideMark/>
          </w:tcPr>
          <w:p w14:paraId="7FF02146" w14:textId="77777777" w:rsidR="000F6F76" w:rsidRDefault="000F6F76" w:rsidP="00BF03EE">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3A396ECB" w14:textId="77777777" w:rsidR="000F6F76" w:rsidRDefault="000F6F76" w:rsidP="00BF03EE">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485C3F08" w14:textId="77777777" w:rsidR="000F6F76" w:rsidRDefault="000F6F76" w:rsidP="00BF03EE">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2BEB78AB" w14:textId="133AEDDB" w:rsidR="000F6F76" w:rsidRDefault="000F6F76" w:rsidP="00BF03EE">
            <w:pPr>
              <w:jc w:val="center"/>
              <w:rPr>
                <w:sz w:val="20"/>
              </w:rPr>
            </w:pPr>
            <w:r>
              <w:rPr>
                <w:sz w:val="20"/>
              </w:rPr>
              <w:t>15,700</w:t>
            </w:r>
          </w:p>
        </w:tc>
      </w:tr>
    </w:tbl>
    <w:p w14:paraId="2715C62C" w14:textId="318F068F" w:rsidR="00F27463" w:rsidRDefault="000F6F76" w:rsidP="00F27463">
      <w:pPr>
        <w:pStyle w:val="Heading2"/>
        <w:numPr>
          <w:ilvl w:val="1"/>
          <w:numId w:val="1"/>
        </w:numPr>
      </w:pPr>
      <w:bookmarkStart w:id="26" w:name="_Toc22047629"/>
      <w:bookmarkStart w:id="27" w:name="_Toc207980981"/>
      <w:r>
        <w:lastRenderedPageBreak/>
        <w:t>Groundw</w:t>
      </w:r>
      <w:r w:rsidR="00F27463">
        <w:t>ater Supply</w:t>
      </w:r>
      <w:bookmarkEnd w:id="26"/>
      <w:bookmarkEnd w:id="27"/>
    </w:p>
    <w:p w14:paraId="3561191C" w14:textId="34D3E0FF" w:rsidR="00D97C18" w:rsidRDefault="000F6F76" w:rsidP="00B07132">
      <w:pPr>
        <w:pStyle w:val="BodyText0"/>
        <w:spacing w:before="0"/>
      </w:pPr>
      <w:r w:rsidRPr="000F6F76">
        <w:t>The District owns and operates many wells to supplement irrigation demand that is not met by the surface water supplies described above. The amount of groundwater needed to be pumped for each hydrologic year type is shown in</w:t>
      </w:r>
      <w:r w:rsidR="00D97C18">
        <w:t xml:space="preserve"> </w:t>
      </w:r>
      <w:r w:rsidR="00D97C18">
        <w:fldChar w:fldCharType="begin"/>
      </w:r>
      <w:r w:rsidR="00D97C18">
        <w:instrText xml:space="preserve"> REF _Ref207977454 \h </w:instrText>
      </w:r>
      <w:r w:rsidR="00D97C18">
        <w:fldChar w:fldCharType="separate"/>
      </w:r>
      <w:r w:rsidR="00C52B63">
        <w:t xml:space="preserve">Table </w:t>
      </w:r>
      <w:r w:rsidR="00C52B63">
        <w:rPr>
          <w:noProof/>
        </w:rPr>
        <w:t>2</w:t>
      </w:r>
      <w:r w:rsidR="00D97C18">
        <w:fldChar w:fldCharType="end"/>
      </w:r>
      <w:r w:rsidR="003B1BC2">
        <w:t xml:space="preserve">. </w:t>
      </w:r>
      <w:r w:rsidR="00BF7F73">
        <w:t xml:space="preserve">In compliance with the Sustainable Groundwater Management Act (SGMA) and the Delta-Mendota Subbasin Groundwater Sustainability Plan, </w:t>
      </w:r>
      <w:r w:rsidR="00E61964">
        <w:t xml:space="preserve">the District </w:t>
      </w:r>
      <w:r w:rsidR="00BF7F73">
        <w:t xml:space="preserve">will attempt to limit groundwater extractions to 8,000 AF </w:t>
      </w:r>
      <w:r w:rsidR="005E6DB6">
        <w:t>in a dry year</w:t>
      </w:r>
      <w:r w:rsidR="00BF7F73">
        <w:t xml:space="preserve">. </w:t>
      </w:r>
      <w:r w:rsidR="00D97C18">
        <w:fldChar w:fldCharType="begin"/>
      </w:r>
      <w:r w:rsidR="00D97C18">
        <w:instrText xml:space="preserve"> REF _Ref207977889 \h </w:instrText>
      </w:r>
      <w:r w:rsidR="00D97C18">
        <w:fldChar w:fldCharType="separate"/>
      </w:r>
      <w:r w:rsidR="00C52B63">
        <w:t xml:space="preserve">Figure </w:t>
      </w:r>
      <w:r w:rsidR="00C52B63">
        <w:rPr>
          <w:noProof/>
        </w:rPr>
        <w:t>1</w:t>
      </w:r>
      <w:r w:rsidR="00D97C18">
        <w:fldChar w:fldCharType="end"/>
      </w:r>
      <w:r w:rsidR="00D97C18">
        <w:t xml:space="preserve"> </w:t>
      </w:r>
      <w:r w:rsidRPr="000F6F76">
        <w:t xml:space="preserve">illustrates irrigation demand being met by the </w:t>
      </w:r>
      <w:r w:rsidR="00BF7F73">
        <w:t>available</w:t>
      </w:r>
      <w:r w:rsidRPr="000F6F76">
        <w:t xml:space="preserve"> water sources under various water year type scenarios. </w:t>
      </w:r>
    </w:p>
    <w:p w14:paraId="4E0FF871" w14:textId="0C51B388" w:rsidR="00F27463" w:rsidRDefault="00F27463" w:rsidP="00F27463">
      <w:pPr>
        <w:jc w:val="both"/>
      </w:pPr>
      <w:r>
        <w:t xml:space="preserve"> </w:t>
      </w:r>
    </w:p>
    <w:p w14:paraId="6766DD32" w14:textId="3B402FEA" w:rsidR="00D97C18" w:rsidRDefault="00D97C18" w:rsidP="003B1BC2">
      <w:pPr>
        <w:pStyle w:val="Caption"/>
      </w:pPr>
      <w:bookmarkStart w:id="28" w:name="_Ref207977454"/>
      <w:r>
        <w:t xml:space="preserve">Table </w:t>
      </w:r>
      <w:fldSimple w:instr=" SEQ Table \* ARABIC ">
        <w:r w:rsidR="00C52B63">
          <w:rPr>
            <w:noProof/>
          </w:rPr>
          <w:t>2</w:t>
        </w:r>
      </w:fldSimple>
      <w:bookmarkEnd w:id="28"/>
      <w:r>
        <w:t xml:space="preserve">. </w:t>
      </w:r>
      <w:r w:rsidRPr="00E2322B">
        <w:t>Well Water Requirements by Year Type (AF)</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1395"/>
        <w:gridCol w:w="1209"/>
        <w:gridCol w:w="821"/>
        <w:gridCol w:w="872"/>
        <w:gridCol w:w="872"/>
        <w:gridCol w:w="1070"/>
        <w:gridCol w:w="926"/>
      </w:tblGrid>
      <w:tr w:rsidR="00082EA6" w14:paraId="7673CF71" w14:textId="4513B4B6" w:rsidTr="00082EA6">
        <w:trPr>
          <w:jc w:val="center"/>
        </w:trPr>
        <w:tc>
          <w:tcPr>
            <w:tcW w:w="1325" w:type="dxa"/>
            <w:tcBorders>
              <w:top w:val="single" w:sz="4" w:space="0" w:color="auto"/>
              <w:left w:val="single" w:sz="4" w:space="0" w:color="auto"/>
              <w:bottom w:val="single" w:sz="4" w:space="0" w:color="auto"/>
              <w:right w:val="single" w:sz="4" w:space="0" w:color="auto"/>
            </w:tcBorders>
            <w:vAlign w:val="bottom"/>
            <w:hideMark/>
          </w:tcPr>
          <w:p w14:paraId="3E770FE0" w14:textId="77777777" w:rsidR="00082EA6" w:rsidRDefault="00082EA6" w:rsidP="00082EA6">
            <w:pPr>
              <w:jc w:val="center"/>
              <w:rPr>
                <w:b/>
                <w:bCs/>
                <w:sz w:val="20"/>
              </w:rPr>
            </w:pPr>
            <w:r w:rsidRPr="000C50C1">
              <w:rPr>
                <w:b/>
                <w:bCs/>
                <w:sz w:val="20"/>
              </w:rPr>
              <w:t>Hydrologic</w:t>
            </w:r>
          </w:p>
          <w:p w14:paraId="7040A9FE" w14:textId="78A8EC86" w:rsidR="00082EA6" w:rsidRPr="000C50C1" w:rsidRDefault="00082EA6" w:rsidP="00082EA6">
            <w:pPr>
              <w:jc w:val="center"/>
              <w:rPr>
                <w:b/>
                <w:bCs/>
                <w:sz w:val="20"/>
              </w:rPr>
            </w:pPr>
            <w:r w:rsidRPr="000C50C1">
              <w:rPr>
                <w:b/>
                <w:bCs/>
                <w:sz w:val="20"/>
              </w:rPr>
              <w:t>Year Type</w:t>
            </w:r>
          </w:p>
        </w:tc>
        <w:tc>
          <w:tcPr>
            <w:tcW w:w="1395" w:type="dxa"/>
            <w:tcBorders>
              <w:top w:val="single" w:sz="4" w:space="0" w:color="auto"/>
              <w:left w:val="single" w:sz="4" w:space="0" w:color="auto"/>
              <w:bottom w:val="single" w:sz="4" w:space="0" w:color="auto"/>
              <w:right w:val="single" w:sz="4" w:space="0" w:color="auto"/>
            </w:tcBorders>
            <w:vAlign w:val="bottom"/>
          </w:tcPr>
          <w:p w14:paraId="03AA6D4D" w14:textId="77777777" w:rsidR="00082EA6" w:rsidRDefault="00082EA6" w:rsidP="00082EA6">
            <w:pPr>
              <w:jc w:val="center"/>
              <w:rPr>
                <w:b/>
                <w:bCs/>
                <w:sz w:val="20"/>
              </w:rPr>
            </w:pPr>
          </w:p>
          <w:p w14:paraId="7BC66583" w14:textId="3C2FDDDE" w:rsidR="00082EA6" w:rsidRPr="000C50C1" w:rsidRDefault="00082EA6" w:rsidP="00082EA6">
            <w:pPr>
              <w:jc w:val="center"/>
              <w:rPr>
                <w:b/>
                <w:bCs/>
                <w:sz w:val="20"/>
              </w:rPr>
            </w:pPr>
            <w:r>
              <w:rPr>
                <w:b/>
                <w:bCs/>
                <w:sz w:val="20"/>
              </w:rPr>
              <w:t>Groundwater</w:t>
            </w:r>
          </w:p>
        </w:tc>
        <w:tc>
          <w:tcPr>
            <w:tcW w:w="1209" w:type="dxa"/>
            <w:tcBorders>
              <w:top w:val="single" w:sz="4" w:space="0" w:color="auto"/>
              <w:left w:val="single" w:sz="4" w:space="0" w:color="auto"/>
              <w:bottom w:val="single" w:sz="4" w:space="0" w:color="auto"/>
              <w:right w:val="single" w:sz="4" w:space="0" w:color="auto"/>
            </w:tcBorders>
          </w:tcPr>
          <w:p w14:paraId="03A4B5BD" w14:textId="77777777" w:rsidR="00082EA6" w:rsidRDefault="00082EA6" w:rsidP="00082EA6">
            <w:pPr>
              <w:jc w:val="center"/>
              <w:rPr>
                <w:b/>
                <w:bCs/>
                <w:sz w:val="20"/>
              </w:rPr>
            </w:pPr>
            <w:r>
              <w:rPr>
                <w:b/>
                <w:bCs/>
                <w:sz w:val="20"/>
              </w:rPr>
              <w:t>CVP</w:t>
            </w:r>
          </w:p>
          <w:p w14:paraId="7AAA7183" w14:textId="77777777" w:rsidR="00082EA6" w:rsidRDefault="00082EA6" w:rsidP="00082EA6">
            <w:pPr>
              <w:jc w:val="center"/>
              <w:rPr>
                <w:b/>
                <w:bCs/>
                <w:sz w:val="20"/>
              </w:rPr>
            </w:pPr>
            <w:r>
              <w:rPr>
                <w:b/>
                <w:bCs/>
                <w:sz w:val="20"/>
              </w:rPr>
              <w:t>Schedule 2</w:t>
            </w:r>
          </w:p>
          <w:p w14:paraId="053156B1" w14:textId="128B0779" w:rsidR="00082EA6" w:rsidRDefault="00082EA6" w:rsidP="00082EA6">
            <w:pPr>
              <w:jc w:val="center"/>
              <w:rPr>
                <w:b/>
                <w:bCs/>
                <w:sz w:val="20"/>
              </w:rPr>
            </w:pPr>
            <w:r>
              <w:rPr>
                <w:b/>
                <w:bCs/>
                <w:sz w:val="20"/>
              </w:rPr>
              <w:t>Water</w:t>
            </w:r>
          </w:p>
        </w:tc>
        <w:tc>
          <w:tcPr>
            <w:tcW w:w="821" w:type="dxa"/>
            <w:tcBorders>
              <w:top w:val="single" w:sz="4" w:space="0" w:color="auto"/>
              <w:left w:val="single" w:sz="4" w:space="0" w:color="auto"/>
              <w:bottom w:val="single" w:sz="4" w:space="0" w:color="auto"/>
              <w:right w:val="single" w:sz="4" w:space="0" w:color="auto"/>
            </w:tcBorders>
          </w:tcPr>
          <w:p w14:paraId="765203D0" w14:textId="77777777" w:rsidR="00082EA6" w:rsidRDefault="00082EA6" w:rsidP="00082EA6">
            <w:pPr>
              <w:jc w:val="center"/>
              <w:rPr>
                <w:b/>
                <w:bCs/>
                <w:sz w:val="20"/>
              </w:rPr>
            </w:pPr>
            <w:r>
              <w:rPr>
                <w:b/>
                <w:bCs/>
                <w:sz w:val="20"/>
              </w:rPr>
              <w:t>CVP</w:t>
            </w:r>
          </w:p>
          <w:p w14:paraId="36C1B7FB" w14:textId="4353863F" w:rsidR="00082EA6" w:rsidRDefault="00082EA6" w:rsidP="00082EA6">
            <w:pPr>
              <w:jc w:val="center"/>
              <w:rPr>
                <w:b/>
                <w:bCs/>
                <w:sz w:val="20"/>
              </w:rPr>
            </w:pPr>
            <w:r>
              <w:rPr>
                <w:b/>
                <w:bCs/>
                <w:sz w:val="20"/>
              </w:rPr>
              <w:t>SOD</w:t>
            </w:r>
          </w:p>
          <w:p w14:paraId="6216F07F" w14:textId="7B45BA4F" w:rsidR="00082EA6" w:rsidRDefault="00082EA6" w:rsidP="00082EA6">
            <w:pPr>
              <w:jc w:val="center"/>
              <w:rPr>
                <w:b/>
                <w:bCs/>
                <w:sz w:val="20"/>
              </w:rPr>
            </w:pPr>
            <w:r>
              <w:rPr>
                <w:b/>
                <w:bCs/>
                <w:sz w:val="20"/>
              </w:rPr>
              <w:t>Water</w:t>
            </w:r>
          </w:p>
        </w:tc>
        <w:tc>
          <w:tcPr>
            <w:tcW w:w="872" w:type="dxa"/>
          </w:tcPr>
          <w:p w14:paraId="5160BF94" w14:textId="77777777" w:rsidR="00082EA6" w:rsidRDefault="00082EA6" w:rsidP="00082EA6">
            <w:pPr>
              <w:jc w:val="center"/>
              <w:rPr>
                <w:b/>
                <w:bCs/>
                <w:sz w:val="20"/>
              </w:rPr>
            </w:pPr>
          </w:p>
          <w:p w14:paraId="0A3CD0C8" w14:textId="3463C7B9" w:rsidR="00082EA6" w:rsidRDefault="00082EA6" w:rsidP="00082EA6">
            <w:pPr>
              <w:jc w:val="center"/>
              <w:rPr>
                <w:b/>
                <w:bCs/>
                <w:sz w:val="20"/>
              </w:rPr>
            </w:pPr>
            <w:r>
              <w:rPr>
                <w:b/>
                <w:bCs/>
                <w:sz w:val="20"/>
              </w:rPr>
              <w:t>O</w:t>
            </w:r>
            <w:r w:rsidR="005E6DB6">
              <w:rPr>
                <w:b/>
                <w:bCs/>
                <w:sz w:val="20"/>
              </w:rPr>
              <w:t>utside</w:t>
            </w:r>
          </w:p>
          <w:p w14:paraId="1D06572F" w14:textId="1D908F73" w:rsidR="00082EA6" w:rsidRDefault="00082EA6" w:rsidP="00082EA6">
            <w:pPr>
              <w:jc w:val="center"/>
              <w:rPr>
                <w:b/>
                <w:bCs/>
                <w:sz w:val="20"/>
              </w:rPr>
            </w:pPr>
            <w:r>
              <w:rPr>
                <w:b/>
                <w:bCs/>
                <w:sz w:val="20"/>
              </w:rPr>
              <w:t>Supply</w:t>
            </w:r>
            <w:r w:rsidR="005E6DB6">
              <w:rPr>
                <w:b/>
                <w:bCs/>
                <w:sz w:val="20"/>
              </w:rPr>
              <w:t xml:space="preserve"> </w:t>
            </w:r>
          </w:p>
        </w:tc>
        <w:tc>
          <w:tcPr>
            <w:tcW w:w="872" w:type="dxa"/>
            <w:tcBorders>
              <w:top w:val="single" w:sz="4" w:space="0" w:color="auto"/>
              <w:left w:val="single" w:sz="4" w:space="0" w:color="auto"/>
              <w:bottom w:val="single" w:sz="4" w:space="0" w:color="auto"/>
              <w:right w:val="single" w:sz="4" w:space="0" w:color="auto"/>
            </w:tcBorders>
          </w:tcPr>
          <w:p w14:paraId="77EE5E8F" w14:textId="77777777" w:rsidR="00082EA6" w:rsidRDefault="00082EA6" w:rsidP="00082EA6">
            <w:pPr>
              <w:jc w:val="center"/>
              <w:rPr>
                <w:b/>
                <w:bCs/>
                <w:sz w:val="20"/>
              </w:rPr>
            </w:pPr>
          </w:p>
          <w:p w14:paraId="0ACBD8C4" w14:textId="5F37BA2E" w:rsidR="00082EA6" w:rsidRDefault="00082EA6" w:rsidP="00082EA6">
            <w:pPr>
              <w:jc w:val="center"/>
              <w:rPr>
                <w:b/>
                <w:bCs/>
                <w:sz w:val="20"/>
              </w:rPr>
            </w:pPr>
            <w:r>
              <w:rPr>
                <w:b/>
                <w:bCs/>
                <w:sz w:val="20"/>
              </w:rPr>
              <w:t>Total</w:t>
            </w:r>
          </w:p>
          <w:p w14:paraId="50D780C4" w14:textId="7B9B2AF4" w:rsidR="00082EA6" w:rsidRDefault="00082EA6" w:rsidP="00082EA6">
            <w:pPr>
              <w:jc w:val="center"/>
              <w:rPr>
                <w:b/>
                <w:bCs/>
                <w:sz w:val="20"/>
              </w:rPr>
            </w:pPr>
            <w:r>
              <w:rPr>
                <w:b/>
                <w:bCs/>
                <w:sz w:val="20"/>
              </w:rPr>
              <w:t>Supply</w:t>
            </w:r>
          </w:p>
        </w:tc>
        <w:tc>
          <w:tcPr>
            <w:tcW w:w="1070" w:type="dxa"/>
          </w:tcPr>
          <w:p w14:paraId="45BB6C24" w14:textId="77777777" w:rsidR="00082EA6" w:rsidRDefault="00082EA6" w:rsidP="00082EA6">
            <w:pPr>
              <w:jc w:val="center"/>
              <w:rPr>
                <w:b/>
                <w:bCs/>
                <w:sz w:val="20"/>
              </w:rPr>
            </w:pPr>
            <w:r>
              <w:rPr>
                <w:b/>
                <w:bCs/>
                <w:sz w:val="20"/>
              </w:rPr>
              <w:t>Total</w:t>
            </w:r>
          </w:p>
          <w:p w14:paraId="6DE1B54D" w14:textId="590C3E35" w:rsidR="00082EA6" w:rsidRDefault="00082EA6" w:rsidP="00082EA6">
            <w:pPr>
              <w:jc w:val="center"/>
              <w:rPr>
                <w:b/>
                <w:bCs/>
                <w:sz w:val="20"/>
              </w:rPr>
            </w:pPr>
            <w:r>
              <w:rPr>
                <w:b/>
                <w:bCs/>
                <w:sz w:val="20"/>
              </w:rPr>
              <w:t>Irrigation</w:t>
            </w:r>
          </w:p>
          <w:p w14:paraId="355359D5" w14:textId="1202AD9F" w:rsidR="00082EA6" w:rsidRDefault="00082EA6" w:rsidP="00082EA6">
            <w:pPr>
              <w:jc w:val="center"/>
              <w:rPr>
                <w:b/>
                <w:bCs/>
                <w:sz w:val="20"/>
              </w:rPr>
            </w:pPr>
            <w:r>
              <w:rPr>
                <w:b/>
                <w:bCs/>
                <w:sz w:val="20"/>
              </w:rPr>
              <w:t>Demand</w:t>
            </w:r>
          </w:p>
        </w:tc>
        <w:tc>
          <w:tcPr>
            <w:tcW w:w="926" w:type="dxa"/>
          </w:tcPr>
          <w:p w14:paraId="46B8FE5C" w14:textId="77777777" w:rsidR="00082EA6" w:rsidRDefault="00082EA6" w:rsidP="00082EA6">
            <w:pPr>
              <w:jc w:val="center"/>
              <w:rPr>
                <w:b/>
                <w:bCs/>
                <w:sz w:val="20"/>
              </w:rPr>
            </w:pPr>
          </w:p>
          <w:p w14:paraId="5AF9433F" w14:textId="77777777" w:rsidR="00082EA6" w:rsidRDefault="00082EA6" w:rsidP="00082EA6">
            <w:pPr>
              <w:jc w:val="center"/>
              <w:rPr>
                <w:b/>
                <w:bCs/>
                <w:sz w:val="20"/>
              </w:rPr>
            </w:pPr>
          </w:p>
          <w:p w14:paraId="200884C8" w14:textId="423088B4" w:rsidR="00082EA6" w:rsidRDefault="00082EA6" w:rsidP="00082EA6">
            <w:pPr>
              <w:jc w:val="center"/>
              <w:rPr>
                <w:b/>
                <w:bCs/>
                <w:sz w:val="20"/>
              </w:rPr>
            </w:pPr>
            <w:r>
              <w:rPr>
                <w:b/>
                <w:bCs/>
                <w:sz w:val="20"/>
              </w:rPr>
              <w:t>Surplus</w:t>
            </w:r>
          </w:p>
        </w:tc>
      </w:tr>
      <w:tr w:rsidR="00082EA6" w14:paraId="2598CD7E" w14:textId="01DABE42" w:rsidTr="00082EA6">
        <w:trPr>
          <w:jc w:val="center"/>
        </w:trPr>
        <w:tc>
          <w:tcPr>
            <w:tcW w:w="1325" w:type="dxa"/>
            <w:tcBorders>
              <w:top w:val="single" w:sz="4" w:space="0" w:color="auto"/>
              <w:left w:val="single" w:sz="4" w:space="0" w:color="auto"/>
              <w:bottom w:val="single" w:sz="4" w:space="0" w:color="auto"/>
              <w:right w:val="single" w:sz="4" w:space="0" w:color="auto"/>
            </w:tcBorders>
            <w:hideMark/>
          </w:tcPr>
          <w:p w14:paraId="53EA2600" w14:textId="77777777" w:rsidR="00082EA6" w:rsidRDefault="00082EA6" w:rsidP="00082EA6">
            <w:pPr>
              <w:rPr>
                <w:sz w:val="20"/>
              </w:rPr>
            </w:pPr>
            <w:r>
              <w:rPr>
                <w:sz w:val="20"/>
              </w:rPr>
              <w:t>Normal</w:t>
            </w:r>
          </w:p>
        </w:tc>
        <w:tc>
          <w:tcPr>
            <w:tcW w:w="1395" w:type="dxa"/>
            <w:tcBorders>
              <w:top w:val="single" w:sz="4" w:space="0" w:color="auto"/>
              <w:left w:val="single" w:sz="4" w:space="0" w:color="auto"/>
              <w:bottom w:val="single" w:sz="4" w:space="0" w:color="auto"/>
              <w:right w:val="single" w:sz="4" w:space="0" w:color="auto"/>
            </w:tcBorders>
          </w:tcPr>
          <w:p w14:paraId="58C0A2E4" w14:textId="764B7CB5" w:rsidR="00082EA6" w:rsidRDefault="00082EA6" w:rsidP="00082EA6">
            <w:pPr>
              <w:jc w:val="center"/>
              <w:rPr>
                <w:sz w:val="20"/>
              </w:rPr>
            </w:pPr>
            <w:r>
              <w:rPr>
                <w:sz w:val="20"/>
              </w:rPr>
              <w:t>0</w:t>
            </w:r>
          </w:p>
        </w:tc>
        <w:tc>
          <w:tcPr>
            <w:tcW w:w="1209" w:type="dxa"/>
            <w:tcBorders>
              <w:top w:val="single" w:sz="4" w:space="0" w:color="auto"/>
              <w:left w:val="single" w:sz="4" w:space="0" w:color="auto"/>
              <w:bottom w:val="single" w:sz="4" w:space="0" w:color="auto"/>
              <w:right w:val="single" w:sz="4" w:space="0" w:color="auto"/>
            </w:tcBorders>
          </w:tcPr>
          <w:p w14:paraId="7135FD4F" w14:textId="77777777" w:rsidR="00082EA6" w:rsidRDefault="00082EA6" w:rsidP="00082EA6">
            <w:pPr>
              <w:jc w:val="center"/>
              <w:rPr>
                <w:sz w:val="20"/>
              </w:rPr>
            </w:pPr>
            <w:r>
              <w:rPr>
                <w:sz w:val="20"/>
              </w:rPr>
              <w:t>20,200</w:t>
            </w:r>
          </w:p>
        </w:tc>
        <w:tc>
          <w:tcPr>
            <w:tcW w:w="821" w:type="dxa"/>
            <w:tcBorders>
              <w:top w:val="single" w:sz="4" w:space="0" w:color="auto"/>
              <w:left w:val="single" w:sz="4" w:space="0" w:color="auto"/>
              <w:bottom w:val="single" w:sz="4" w:space="0" w:color="auto"/>
              <w:right w:val="single" w:sz="4" w:space="0" w:color="auto"/>
            </w:tcBorders>
          </w:tcPr>
          <w:p w14:paraId="357648F3" w14:textId="02CA2D92" w:rsidR="00082EA6" w:rsidRDefault="00082EA6" w:rsidP="00082EA6">
            <w:pPr>
              <w:jc w:val="center"/>
              <w:rPr>
                <w:sz w:val="20"/>
              </w:rPr>
            </w:pPr>
            <w:r>
              <w:rPr>
                <w:sz w:val="20"/>
              </w:rPr>
              <w:t>5,796</w:t>
            </w:r>
          </w:p>
        </w:tc>
        <w:tc>
          <w:tcPr>
            <w:tcW w:w="872" w:type="dxa"/>
          </w:tcPr>
          <w:p w14:paraId="45603239" w14:textId="6F32ECF8" w:rsidR="00082EA6" w:rsidRDefault="00082EA6" w:rsidP="00082EA6">
            <w:pPr>
              <w:jc w:val="center"/>
              <w:rPr>
                <w:sz w:val="20"/>
              </w:rPr>
            </w:pPr>
            <w:r>
              <w:rPr>
                <w:sz w:val="20"/>
              </w:rPr>
              <w:t>0</w:t>
            </w:r>
          </w:p>
        </w:tc>
        <w:tc>
          <w:tcPr>
            <w:tcW w:w="872" w:type="dxa"/>
            <w:tcBorders>
              <w:top w:val="single" w:sz="4" w:space="0" w:color="auto"/>
              <w:left w:val="single" w:sz="4" w:space="0" w:color="auto"/>
              <w:bottom w:val="single" w:sz="4" w:space="0" w:color="auto"/>
              <w:right w:val="single" w:sz="4" w:space="0" w:color="auto"/>
            </w:tcBorders>
          </w:tcPr>
          <w:p w14:paraId="3F43C2E6" w14:textId="174B78A6" w:rsidR="00082EA6" w:rsidRDefault="00082EA6" w:rsidP="00082EA6">
            <w:pPr>
              <w:jc w:val="center"/>
              <w:rPr>
                <w:sz w:val="20"/>
              </w:rPr>
            </w:pPr>
            <w:r>
              <w:rPr>
                <w:sz w:val="20"/>
              </w:rPr>
              <w:t>25,996</w:t>
            </w:r>
          </w:p>
        </w:tc>
        <w:tc>
          <w:tcPr>
            <w:tcW w:w="1070" w:type="dxa"/>
          </w:tcPr>
          <w:p w14:paraId="6EA29DAB" w14:textId="286DE6D7" w:rsidR="00082EA6" w:rsidRDefault="00082EA6" w:rsidP="00082EA6">
            <w:pPr>
              <w:jc w:val="center"/>
              <w:rPr>
                <w:sz w:val="20"/>
              </w:rPr>
            </w:pPr>
            <w:r>
              <w:rPr>
                <w:sz w:val="20"/>
              </w:rPr>
              <w:t>25,000</w:t>
            </w:r>
          </w:p>
        </w:tc>
        <w:tc>
          <w:tcPr>
            <w:tcW w:w="926" w:type="dxa"/>
          </w:tcPr>
          <w:p w14:paraId="3FC19609" w14:textId="0D187A79" w:rsidR="00082EA6" w:rsidRDefault="00082EA6" w:rsidP="00082EA6">
            <w:pPr>
              <w:jc w:val="center"/>
              <w:rPr>
                <w:sz w:val="20"/>
              </w:rPr>
            </w:pPr>
            <w:r>
              <w:rPr>
                <w:sz w:val="20"/>
              </w:rPr>
              <w:t>996</w:t>
            </w:r>
          </w:p>
        </w:tc>
      </w:tr>
      <w:tr w:rsidR="00082EA6" w14:paraId="1E4D08A7" w14:textId="00A5A99F" w:rsidTr="00082EA6">
        <w:trPr>
          <w:jc w:val="center"/>
        </w:trPr>
        <w:tc>
          <w:tcPr>
            <w:tcW w:w="1325" w:type="dxa"/>
            <w:tcBorders>
              <w:top w:val="single" w:sz="4" w:space="0" w:color="auto"/>
              <w:left w:val="single" w:sz="4" w:space="0" w:color="auto"/>
              <w:bottom w:val="single" w:sz="4" w:space="0" w:color="auto"/>
              <w:right w:val="single" w:sz="4" w:space="0" w:color="auto"/>
            </w:tcBorders>
          </w:tcPr>
          <w:p w14:paraId="72102FBD" w14:textId="53092C75" w:rsidR="00082EA6" w:rsidRDefault="00082EA6" w:rsidP="00082EA6">
            <w:pPr>
              <w:rPr>
                <w:sz w:val="20"/>
              </w:rPr>
            </w:pPr>
            <w:r>
              <w:rPr>
                <w:sz w:val="20"/>
              </w:rPr>
              <w:t>Critically Dry</w:t>
            </w:r>
          </w:p>
        </w:tc>
        <w:tc>
          <w:tcPr>
            <w:tcW w:w="1395" w:type="dxa"/>
            <w:tcBorders>
              <w:top w:val="single" w:sz="4" w:space="0" w:color="auto"/>
              <w:left w:val="single" w:sz="4" w:space="0" w:color="auto"/>
              <w:bottom w:val="single" w:sz="4" w:space="0" w:color="auto"/>
              <w:right w:val="single" w:sz="4" w:space="0" w:color="auto"/>
            </w:tcBorders>
          </w:tcPr>
          <w:p w14:paraId="7204651C" w14:textId="59C7978B" w:rsidR="00082EA6" w:rsidRDefault="00082EA6" w:rsidP="00082EA6">
            <w:pPr>
              <w:jc w:val="center"/>
              <w:rPr>
                <w:sz w:val="20"/>
              </w:rPr>
            </w:pPr>
            <w:r>
              <w:rPr>
                <w:sz w:val="20"/>
              </w:rPr>
              <w:t>8,000</w:t>
            </w:r>
          </w:p>
        </w:tc>
        <w:tc>
          <w:tcPr>
            <w:tcW w:w="1209" w:type="dxa"/>
            <w:tcBorders>
              <w:top w:val="single" w:sz="4" w:space="0" w:color="auto"/>
              <w:left w:val="single" w:sz="4" w:space="0" w:color="auto"/>
              <w:bottom w:val="single" w:sz="4" w:space="0" w:color="auto"/>
              <w:right w:val="single" w:sz="4" w:space="0" w:color="auto"/>
            </w:tcBorders>
          </w:tcPr>
          <w:p w14:paraId="2DA7E254" w14:textId="77777777" w:rsidR="00082EA6" w:rsidRDefault="00082EA6" w:rsidP="00082EA6">
            <w:pPr>
              <w:jc w:val="center"/>
              <w:rPr>
                <w:sz w:val="20"/>
              </w:rPr>
            </w:pPr>
            <w:r>
              <w:rPr>
                <w:sz w:val="20"/>
              </w:rPr>
              <w:t>15,700</w:t>
            </w:r>
          </w:p>
        </w:tc>
        <w:tc>
          <w:tcPr>
            <w:tcW w:w="821" w:type="dxa"/>
            <w:tcBorders>
              <w:top w:val="single" w:sz="4" w:space="0" w:color="auto"/>
              <w:left w:val="single" w:sz="4" w:space="0" w:color="auto"/>
              <w:bottom w:val="single" w:sz="4" w:space="0" w:color="auto"/>
              <w:right w:val="single" w:sz="4" w:space="0" w:color="auto"/>
            </w:tcBorders>
          </w:tcPr>
          <w:p w14:paraId="4E9A4927" w14:textId="064BCD14" w:rsidR="00082EA6" w:rsidRDefault="00082EA6" w:rsidP="00082EA6">
            <w:pPr>
              <w:jc w:val="center"/>
              <w:rPr>
                <w:sz w:val="20"/>
              </w:rPr>
            </w:pPr>
            <w:r>
              <w:rPr>
                <w:sz w:val="20"/>
              </w:rPr>
              <w:t>0</w:t>
            </w:r>
          </w:p>
        </w:tc>
        <w:tc>
          <w:tcPr>
            <w:tcW w:w="872" w:type="dxa"/>
          </w:tcPr>
          <w:p w14:paraId="6C892780" w14:textId="4AA96295" w:rsidR="00082EA6" w:rsidRDefault="00082EA6" w:rsidP="00082EA6">
            <w:pPr>
              <w:jc w:val="center"/>
              <w:rPr>
                <w:sz w:val="20"/>
              </w:rPr>
            </w:pPr>
            <w:r>
              <w:rPr>
                <w:sz w:val="20"/>
              </w:rPr>
              <w:t>1,300</w:t>
            </w:r>
          </w:p>
        </w:tc>
        <w:tc>
          <w:tcPr>
            <w:tcW w:w="872" w:type="dxa"/>
            <w:tcBorders>
              <w:top w:val="single" w:sz="4" w:space="0" w:color="auto"/>
              <w:left w:val="single" w:sz="4" w:space="0" w:color="auto"/>
              <w:bottom w:val="single" w:sz="4" w:space="0" w:color="auto"/>
              <w:right w:val="single" w:sz="4" w:space="0" w:color="auto"/>
            </w:tcBorders>
          </w:tcPr>
          <w:p w14:paraId="1CA26D6F" w14:textId="16739E35" w:rsidR="00082EA6" w:rsidRDefault="00082EA6" w:rsidP="00082EA6">
            <w:pPr>
              <w:jc w:val="center"/>
              <w:rPr>
                <w:sz w:val="20"/>
              </w:rPr>
            </w:pPr>
            <w:r>
              <w:rPr>
                <w:sz w:val="20"/>
              </w:rPr>
              <w:t>25,000</w:t>
            </w:r>
          </w:p>
        </w:tc>
        <w:tc>
          <w:tcPr>
            <w:tcW w:w="1070" w:type="dxa"/>
          </w:tcPr>
          <w:p w14:paraId="3EFC8EFE" w14:textId="08F97E14" w:rsidR="00082EA6" w:rsidRDefault="00082EA6" w:rsidP="00082EA6">
            <w:pPr>
              <w:jc w:val="center"/>
              <w:rPr>
                <w:sz w:val="20"/>
              </w:rPr>
            </w:pPr>
            <w:r>
              <w:rPr>
                <w:sz w:val="20"/>
              </w:rPr>
              <w:t>25,000</w:t>
            </w:r>
          </w:p>
        </w:tc>
        <w:tc>
          <w:tcPr>
            <w:tcW w:w="926" w:type="dxa"/>
          </w:tcPr>
          <w:p w14:paraId="6E68F4C7" w14:textId="7F1F28DA" w:rsidR="00082EA6" w:rsidRDefault="00082EA6" w:rsidP="00082EA6">
            <w:pPr>
              <w:jc w:val="center"/>
              <w:rPr>
                <w:sz w:val="20"/>
              </w:rPr>
            </w:pPr>
            <w:r>
              <w:rPr>
                <w:sz w:val="20"/>
              </w:rPr>
              <w:t>0</w:t>
            </w:r>
          </w:p>
        </w:tc>
      </w:tr>
    </w:tbl>
    <w:p w14:paraId="55BAD9EC" w14:textId="77777777" w:rsidR="00F27463" w:rsidRDefault="00F27463" w:rsidP="00F27463">
      <w:pPr>
        <w:rPr>
          <w:highlight w:val="lightGray"/>
        </w:rPr>
      </w:pPr>
    </w:p>
    <w:p w14:paraId="7294E68B" w14:textId="77777777" w:rsidR="00D97C18" w:rsidRDefault="00D97C18" w:rsidP="00F27463">
      <w:pPr>
        <w:rPr>
          <w:highlight w:val="lightGray"/>
        </w:rPr>
      </w:pPr>
    </w:p>
    <w:p w14:paraId="2D694C03" w14:textId="1B28E0F8" w:rsidR="00F27463" w:rsidRDefault="00BF7F73" w:rsidP="003B1BC2">
      <w:pPr>
        <w:jc w:val="center"/>
      </w:pPr>
      <w:r>
        <w:rPr>
          <w:noProof/>
        </w:rPr>
        <w:drawing>
          <wp:inline distT="0" distB="0" distL="0" distR="0" wp14:anchorId="0A4B3B2D" wp14:editId="0329DFDA">
            <wp:extent cx="4572000" cy="2743200"/>
            <wp:effectExtent l="0" t="0" r="0" b="0"/>
            <wp:docPr id="826216011" name="Chart 1">
              <a:extLst xmlns:a="http://schemas.openxmlformats.org/drawingml/2006/main">
                <a:ext uri="{FF2B5EF4-FFF2-40B4-BE49-F238E27FC236}">
                  <a16:creationId xmlns:a16="http://schemas.microsoft.com/office/drawing/2014/main" id="{B443C085-B367-FCC8-06EF-AEA1AAAFB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A64D8E" w14:textId="31C78701" w:rsidR="00D97C18" w:rsidRDefault="00D97C18" w:rsidP="003B1BC2">
      <w:pPr>
        <w:pStyle w:val="Caption"/>
        <w:rPr>
          <w:highlight w:val="lightGray"/>
        </w:rPr>
      </w:pPr>
      <w:bookmarkStart w:id="29" w:name="_Ref207977889"/>
      <w:r>
        <w:t xml:space="preserve">Figure </w:t>
      </w:r>
      <w:fldSimple w:instr=" SEQ Figure \* ARABIC ">
        <w:r w:rsidR="00C52B63">
          <w:rPr>
            <w:noProof/>
          </w:rPr>
          <w:t>1</w:t>
        </w:r>
      </w:fldSimple>
      <w:bookmarkEnd w:id="29"/>
      <w:r>
        <w:t>. Water Supply and Demand</w:t>
      </w:r>
    </w:p>
    <w:p w14:paraId="23F1961F" w14:textId="77777777" w:rsidR="00D97C18" w:rsidRDefault="00D97C18" w:rsidP="00F27463">
      <w:pPr>
        <w:jc w:val="both"/>
      </w:pPr>
    </w:p>
    <w:p w14:paraId="392D1C4C" w14:textId="77777777" w:rsidR="00F27463" w:rsidRPr="006446BF" w:rsidRDefault="00F27463" w:rsidP="00F27463">
      <w:pPr>
        <w:pStyle w:val="Heading1"/>
        <w:numPr>
          <w:ilvl w:val="0"/>
          <w:numId w:val="1"/>
        </w:numPr>
      </w:pPr>
      <w:bookmarkStart w:id="30" w:name="_Toc22047631"/>
      <w:bookmarkStart w:id="31" w:name="_Toc207980982"/>
      <w:r w:rsidRPr="006446BF">
        <w:t>DISTRICT FINANCIAL INFORMATION</w:t>
      </w:r>
      <w:bookmarkEnd w:id="30"/>
      <w:bookmarkEnd w:id="31"/>
    </w:p>
    <w:p w14:paraId="6CABE8C1" w14:textId="5F6CD3AA" w:rsidR="001E2A6F" w:rsidRDefault="001E2A6F" w:rsidP="00F7160B">
      <w:pPr>
        <w:jc w:val="both"/>
      </w:pPr>
      <w:r>
        <w:t>T</w:t>
      </w:r>
      <w:r w:rsidRPr="00BF5AE6">
        <w:t xml:space="preserve">he District has </w:t>
      </w:r>
      <w:r>
        <w:t xml:space="preserve">historically </w:t>
      </w:r>
      <w:r w:rsidRPr="00BF5AE6">
        <w:t>levied volumetric agricultural water charges, monthly municipal charges, and land-based assessments to recover the District's expenses</w:t>
      </w:r>
      <w:r w:rsidR="003B1BC2">
        <w:t xml:space="preserve">. </w:t>
      </w:r>
      <w:r w:rsidR="005B5922">
        <w:t>N</w:t>
      </w:r>
      <w:r w:rsidRPr="00BF5AE6">
        <w:t>on-operating revenues, District reserves, and outside water sales were used to make up any shortfall.</w:t>
      </w:r>
      <w:r>
        <w:t xml:space="preserve"> </w:t>
      </w:r>
      <w:r w:rsidR="005B5922">
        <w:t xml:space="preserve">Utilizing District reserves is not sustainable, and with the passage of SGMA, groundwater pumping will be reduced, making surface water supplies unavailable for outside water sales. </w:t>
      </w:r>
    </w:p>
    <w:p w14:paraId="3CA6363C" w14:textId="77777777" w:rsidR="00D83340" w:rsidRPr="006446BF" w:rsidRDefault="00D83340" w:rsidP="00F27463"/>
    <w:p w14:paraId="532C7B70" w14:textId="1F6C851D" w:rsidR="00D83340" w:rsidRPr="00D83340" w:rsidRDefault="00D97C18" w:rsidP="00D83340">
      <w:pPr>
        <w:pStyle w:val="Heading2"/>
        <w:numPr>
          <w:ilvl w:val="1"/>
          <w:numId w:val="1"/>
        </w:numPr>
      </w:pPr>
      <w:bookmarkStart w:id="32" w:name="_Toc207980983"/>
      <w:r>
        <w:t>Reserve Account Depletion</w:t>
      </w:r>
      <w:bookmarkEnd w:id="32"/>
    </w:p>
    <w:p w14:paraId="1BA31219" w14:textId="488B8555" w:rsidR="00D83340" w:rsidRPr="00D83340" w:rsidRDefault="00D83340" w:rsidP="00F7160B">
      <w:pPr>
        <w:jc w:val="both"/>
      </w:pPr>
      <w:r w:rsidRPr="00D83340">
        <w:t xml:space="preserve">The District has relied on reserve accounts to offset operation costs </w:t>
      </w:r>
      <w:r w:rsidR="00A0602A">
        <w:t>of</w:t>
      </w:r>
      <w:r w:rsidR="00A0602A" w:rsidRPr="00D83340">
        <w:t xml:space="preserve"> </w:t>
      </w:r>
      <w:r w:rsidRPr="00D83340">
        <w:t xml:space="preserve">the District. This practice is </w:t>
      </w:r>
      <w:r w:rsidR="0033628E">
        <w:t xml:space="preserve">not </w:t>
      </w:r>
      <w:r w:rsidRPr="00D83340">
        <w:t>sustainable</w:t>
      </w:r>
      <w:r w:rsidR="003B1BC2">
        <w:t xml:space="preserve">. </w:t>
      </w:r>
      <w:r>
        <w:fldChar w:fldCharType="begin"/>
      </w:r>
      <w:r>
        <w:instrText xml:space="preserve"> REF _Ref207978363 \h </w:instrText>
      </w:r>
      <w:r>
        <w:fldChar w:fldCharType="separate"/>
      </w:r>
      <w:r w:rsidR="00C52B63">
        <w:t xml:space="preserve">Figure </w:t>
      </w:r>
      <w:r w:rsidR="00C52B63">
        <w:rPr>
          <w:noProof/>
        </w:rPr>
        <w:t>2</w:t>
      </w:r>
      <w:r>
        <w:fldChar w:fldCharType="end"/>
      </w:r>
      <w:r>
        <w:t xml:space="preserve"> </w:t>
      </w:r>
      <w:r w:rsidRPr="00D83340">
        <w:t>demonstrates that at the current reliance on reserves, the account will be depleted by 203</w:t>
      </w:r>
      <w:r w:rsidR="00ED4F97">
        <w:t>1</w:t>
      </w:r>
      <w:r w:rsidRPr="00D83340">
        <w:t xml:space="preserve"> (or sooner depending on the water year</w:t>
      </w:r>
      <w:r w:rsidR="003B1BC2">
        <w:t xml:space="preserve"> type</w:t>
      </w:r>
      <w:r w:rsidRPr="00D83340">
        <w:t xml:space="preserve">). To reverse this decline, a line item has been included </w:t>
      </w:r>
      <w:r w:rsidRPr="00D83340">
        <w:lastRenderedPageBreak/>
        <w:t>in the budget to recoup reserve account losses.</w:t>
      </w:r>
      <w:r w:rsidR="008356F0" w:rsidRPr="008356F0">
        <w:t xml:space="preserve"> </w:t>
      </w:r>
      <w:r w:rsidR="00ED4F97">
        <w:t xml:space="preserve">At the proposed rate, this </w:t>
      </w:r>
      <w:r w:rsidR="008356F0">
        <w:t xml:space="preserve">allows for a </w:t>
      </w:r>
      <w:r w:rsidR="0033628E">
        <w:t>District r</w:t>
      </w:r>
      <w:r w:rsidR="008356F0">
        <w:t xml:space="preserve">eserve </w:t>
      </w:r>
      <w:r w:rsidR="0033628E">
        <w:t>c</w:t>
      </w:r>
      <w:r w:rsidR="008356F0">
        <w:t xml:space="preserve">ontribution </w:t>
      </w:r>
      <w:r w:rsidR="00ED4F97">
        <w:t>ranging from</w:t>
      </w:r>
      <w:r w:rsidR="008356F0">
        <w:t xml:space="preserve"> $130,000</w:t>
      </w:r>
      <w:r w:rsidR="00ED4F97">
        <w:t xml:space="preserve"> to </w:t>
      </w:r>
      <w:r w:rsidR="008356F0">
        <w:t>$600,000</w:t>
      </w:r>
      <w:r w:rsidR="0033628E">
        <w:t xml:space="preserve"> annually</w:t>
      </w:r>
      <w:r w:rsidR="008356F0">
        <w:t>, depending</w:t>
      </w:r>
      <w:r w:rsidR="00ED4F97">
        <w:t xml:space="preserve"> </w:t>
      </w:r>
      <w:r w:rsidR="008356F0">
        <w:t>on the water year type.</w:t>
      </w:r>
    </w:p>
    <w:p w14:paraId="2219A940" w14:textId="2462C5EC" w:rsidR="00D83340" w:rsidRDefault="00ED4F97" w:rsidP="00ED4F97">
      <w:pPr>
        <w:keepNext/>
        <w:jc w:val="center"/>
      </w:pPr>
      <w:r>
        <w:rPr>
          <w:noProof/>
        </w:rPr>
        <w:drawing>
          <wp:inline distT="0" distB="0" distL="0" distR="0" wp14:anchorId="7C4FA3DB" wp14:editId="405039B2">
            <wp:extent cx="4772025" cy="3629025"/>
            <wp:effectExtent l="0" t="0" r="9525" b="9525"/>
            <wp:docPr id="957719262" name="Chart 1">
              <a:extLst xmlns:a="http://schemas.openxmlformats.org/drawingml/2006/main">
                <a:ext uri="{FF2B5EF4-FFF2-40B4-BE49-F238E27FC236}">
                  <a16:creationId xmlns:a16="http://schemas.microsoft.com/office/drawing/2014/main" id="{F473D017-D9DB-47F6-9601-E57823D188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D724D5" w14:textId="420975F4" w:rsidR="00D83340" w:rsidRPr="00D83340" w:rsidRDefault="00D83340" w:rsidP="003B1BC2">
      <w:pPr>
        <w:pStyle w:val="Caption"/>
      </w:pPr>
      <w:bookmarkStart w:id="33" w:name="_Ref207978363"/>
      <w:r>
        <w:t xml:space="preserve">Figure </w:t>
      </w:r>
      <w:fldSimple w:instr=" SEQ Figure \* ARABIC ">
        <w:r w:rsidR="00C52B63">
          <w:rPr>
            <w:noProof/>
          </w:rPr>
          <w:t>2</w:t>
        </w:r>
      </w:fldSimple>
      <w:bookmarkEnd w:id="33"/>
      <w:r>
        <w:t>. Reserve Account Depletion</w:t>
      </w:r>
    </w:p>
    <w:p w14:paraId="2C080945" w14:textId="77777777" w:rsidR="00D83340" w:rsidRPr="00D83340" w:rsidRDefault="00D83340" w:rsidP="00D83340"/>
    <w:p w14:paraId="574467A5" w14:textId="6C885CD7" w:rsidR="00F27463" w:rsidRPr="006446BF" w:rsidRDefault="00D83340" w:rsidP="00D83340">
      <w:pPr>
        <w:pStyle w:val="Heading2"/>
        <w:numPr>
          <w:ilvl w:val="1"/>
          <w:numId w:val="1"/>
        </w:numPr>
        <w:jc w:val="both"/>
      </w:pPr>
      <w:bookmarkStart w:id="34" w:name="_Toc207980984"/>
      <w:r>
        <w:t>Increased Energy Reliance</w:t>
      </w:r>
      <w:bookmarkEnd w:id="34"/>
    </w:p>
    <w:p w14:paraId="08CB968D" w14:textId="16AD76E0" w:rsidR="00D83340" w:rsidRDefault="00D83340" w:rsidP="00D83340">
      <w:pPr>
        <w:spacing w:before="120"/>
        <w:jc w:val="both"/>
      </w:pPr>
      <w:r w:rsidRPr="00D83340">
        <w:t xml:space="preserve">The </w:t>
      </w:r>
      <w:r w:rsidRPr="00AF4F85">
        <w:t>202</w:t>
      </w:r>
      <w:r w:rsidR="005D69A2">
        <w:t xml:space="preserve">4 </w:t>
      </w:r>
      <w:r w:rsidRPr="00D83340">
        <w:t>water rate increase did not accurately account for the increases in energy costs</w:t>
      </w:r>
      <w:r w:rsidR="009C0015">
        <w:t xml:space="preserve"> related to delivery of agricultural water to landowners</w:t>
      </w:r>
      <w:r w:rsidRPr="00D83340">
        <w:t>. Th</w:t>
      </w:r>
      <w:r w:rsidR="0033628E">
        <w:t>ese</w:t>
      </w:r>
      <w:r w:rsidRPr="00D83340">
        <w:t xml:space="preserve"> cost</w:t>
      </w:r>
      <w:r w:rsidR="0033628E">
        <w:t>s</w:t>
      </w:r>
      <w:r w:rsidRPr="00D83340">
        <w:t xml:space="preserve"> will increase as groundwater levels decline, pump and well efficiencies degrade, and energy costs from the utility company increase. </w:t>
      </w:r>
      <w:r w:rsidR="0033628E">
        <w:t>The proposed budget (</w:t>
      </w:r>
      <w:r w:rsidR="00362392">
        <w:fldChar w:fldCharType="begin"/>
      </w:r>
      <w:r w:rsidR="00362392">
        <w:instrText xml:space="preserve"> REF _Ref207979621 \h </w:instrText>
      </w:r>
      <w:r w:rsidR="00362392">
        <w:fldChar w:fldCharType="separate"/>
      </w:r>
      <w:r w:rsidR="00C52B63">
        <w:t xml:space="preserve">Table </w:t>
      </w:r>
      <w:r w:rsidR="00C52B63">
        <w:rPr>
          <w:noProof/>
        </w:rPr>
        <w:t>3</w:t>
      </w:r>
      <w:r w:rsidR="00362392">
        <w:fldChar w:fldCharType="end"/>
      </w:r>
      <w:r w:rsidR="0033628E">
        <w:t>)</w:t>
      </w:r>
      <w:r w:rsidR="00D328A6">
        <w:t xml:space="preserve"> </w:t>
      </w:r>
      <w:r w:rsidRPr="00D83340">
        <w:t>accounts for this variable cost of service.</w:t>
      </w:r>
    </w:p>
    <w:p w14:paraId="13C993A4" w14:textId="16D0CF9C" w:rsidR="0033628E" w:rsidRPr="006446BF" w:rsidRDefault="0033628E" w:rsidP="0033628E">
      <w:pPr>
        <w:pStyle w:val="Heading2"/>
        <w:numPr>
          <w:ilvl w:val="1"/>
          <w:numId w:val="1"/>
        </w:numPr>
        <w:jc w:val="both"/>
      </w:pPr>
      <w:r>
        <w:t>REDUCED Reliance ON outside water sales</w:t>
      </w:r>
    </w:p>
    <w:p w14:paraId="43AF9B8C" w14:textId="3B56D88E" w:rsidR="0033628E" w:rsidRDefault="0033628E" w:rsidP="0033628E">
      <w:pPr>
        <w:spacing w:before="120"/>
        <w:jc w:val="both"/>
      </w:pPr>
      <w:r>
        <w:t>The District has historically sold its SOD CVP contract water to supplement its revenue shortfall</w:t>
      </w:r>
      <w:r w:rsidR="00362392">
        <w:t xml:space="preserve">, and utilized groundwater pumping to replace that supply. </w:t>
      </w:r>
      <w:r>
        <w:t>With the passage of SGMA</w:t>
      </w:r>
      <w:r w:rsidR="00362392">
        <w:t>, groundwater pumping will need to be reduced.</w:t>
      </w:r>
      <w:r w:rsidR="00362392" w:rsidRPr="00362392">
        <w:t xml:space="preserve"> </w:t>
      </w:r>
      <w:r w:rsidR="00362392">
        <w:t>The proposed budget (</w:t>
      </w:r>
      <w:r w:rsidR="00362392">
        <w:fldChar w:fldCharType="begin"/>
      </w:r>
      <w:r w:rsidR="00362392">
        <w:instrText xml:space="preserve"> REF _Ref207979621 \h </w:instrText>
      </w:r>
      <w:r w:rsidR="00362392">
        <w:fldChar w:fldCharType="separate"/>
      </w:r>
      <w:r w:rsidR="00C52B63">
        <w:t xml:space="preserve">Table </w:t>
      </w:r>
      <w:r w:rsidR="00C52B63">
        <w:rPr>
          <w:noProof/>
        </w:rPr>
        <w:t>3</w:t>
      </w:r>
      <w:r w:rsidR="00362392">
        <w:fldChar w:fldCharType="end"/>
      </w:r>
      <w:r w:rsidR="00362392">
        <w:t xml:space="preserve">) </w:t>
      </w:r>
      <w:r w:rsidR="00362392" w:rsidRPr="00D83340">
        <w:t xml:space="preserve">accounts for </w:t>
      </w:r>
      <w:r w:rsidR="00362392">
        <w:t>the purchase costs of the SOD CVP supply and the lost revenue for the sale of that water.</w:t>
      </w:r>
    </w:p>
    <w:p w14:paraId="4C19658B" w14:textId="33446E50" w:rsidR="00D83340" w:rsidRPr="006446BF" w:rsidRDefault="00D83340" w:rsidP="00D83340">
      <w:pPr>
        <w:pStyle w:val="Heading2"/>
        <w:numPr>
          <w:ilvl w:val="1"/>
          <w:numId w:val="1"/>
        </w:numPr>
        <w:jc w:val="both"/>
      </w:pPr>
      <w:bookmarkStart w:id="35" w:name="_Toc207980985"/>
      <w:r>
        <w:t>Projected Revenues</w:t>
      </w:r>
      <w:bookmarkEnd w:id="35"/>
    </w:p>
    <w:p w14:paraId="3FB121C8" w14:textId="5EB41A54" w:rsidR="00D328A6" w:rsidRDefault="001E2A6F" w:rsidP="00381FD5">
      <w:pPr>
        <w:jc w:val="both"/>
        <w:rPr>
          <w:rFonts w:ascii="Calibri Light" w:hAnsi="Calibri Light"/>
          <w:b/>
        </w:rPr>
      </w:pPr>
      <w:r w:rsidRPr="00D97C18">
        <w:t>The District projects variable agricultural water expenses of $3.</w:t>
      </w:r>
      <w:r w:rsidR="002E0D50">
        <w:t>8</w:t>
      </w:r>
      <w:r w:rsidR="00381FD5">
        <w:t>5</w:t>
      </w:r>
      <w:r w:rsidRPr="00D97C18">
        <w:t xml:space="preserve"> million</w:t>
      </w:r>
      <w:r w:rsidR="002E0D50">
        <w:t xml:space="preserve"> in 2026, which includes a </w:t>
      </w:r>
      <w:r w:rsidR="000622C8">
        <w:t>$</w:t>
      </w:r>
      <w:r w:rsidR="002E0D50">
        <w:t>5</w:t>
      </w:r>
      <w:r w:rsidR="00381FD5">
        <w:t>60</w:t>
      </w:r>
      <w:r w:rsidR="002E0D50">
        <w:t>,000 reserve contribution</w:t>
      </w:r>
      <w:r w:rsidR="000622C8">
        <w:t xml:space="preserve"> </w:t>
      </w:r>
      <w:r w:rsidRPr="00D97C18">
        <w:t xml:space="preserve">in </w:t>
      </w:r>
      <w:r>
        <w:t>normal year</w:t>
      </w:r>
      <w:r w:rsidR="000622C8">
        <w:t>s</w:t>
      </w:r>
      <w:r>
        <w:t xml:space="preserve"> (42% CVP allocation)</w:t>
      </w:r>
      <w:r w:rsidR="000622C8">
        <w:t>. In</w:t>
      </w:r>
      <w:r>
        <w:t xml:space="preserve"> dry year</w:t>
      </w:r>
      <w:r w:rsidR="000622C8">
        <w:t>s</w:t>
      </w:r>
      <w:r>
        <w:t xml:space="preserve"> (0% CVP allocation with supplemental groundwater pumping)</w:t>
      </w:r>
      <w:r w:rsidR="000622C8">
        <w:t xml:space="preserve">, there are additional costs associated with the groundwater pumping, and the reserve contribution </w:t>
      </w:r>
      <w:r w:rsidR="00AA3A08">
        <w:t>must</w:t>
      </w:r>
      <w:r w:rsidR="000622C8">
        <w:t xml:space="preserve"> </w:t>
      </w:r>
      <w:r w:rsidR="00AA3A08">
        <w:t xml:space="preserve">be </w:t>
      </w:r>
      <w:r w:rsidR="000622C8">
        <w:t>reduced to $1</w:t>
      </w:r>
      <w:r w:rsidR="00381FD5">
        <w:t>0</w:t>
      </w:r>
      <w:r w:rsidR="000622C8">
        <w:t>0,000.</w:t>
      </w:r>
      <w:r w:rsidRPr="008356F0">
        <w:t xml:space="preserve"> </w:t>
      </w:r>
      <w:r w:rsidR="005D69A2">
        <w:t xml:space="preserve">The </w:t>
      </w:r>
      <w:r w:rsidR="000622C8">
        <w:t xml:space="preserve">pre-reserve </w:t>
      </w:r>
      <w:r w:rsidR="005D69A2">
        <w:t xml:space="preserve">expenses </w:t>
      </w:r>
      <w:r w:rsidR="00AA3A08">
        <w:t xml:space="preserve">($3.28 million) </w:t>
      </w:r>
      <w:r w:rsidR="005D69A2">
        <w:t xml:space="preserve">are projected </w:t>
      </w:r>
      <w:r w:rsidR="000622C8">
        <w:t xml:space="preserve">to increase 3% per year </w:t>
      </w:r>
      <w:r w:rsidR="00AA3A08">
        <w:t xml:space="preserve">and with the reserve added back in, are projected to </w:t>
      </w:r>
      <w:r w:rsidR="005D69A2">
        <w:t>be $</w:t>
      </w:r>
      <w:r w:rsidR="002E0D50">
        <w:t>4</w:t>
      </w:r>
      <w:r w:rsidR="000622C8">
        <w:t>.2</w:t>
      </w:r>
      <w:r w:rsidR="00381FD5">
        <w:t>5</w:t>
      </w:r>
      <w:r w:rsidR="005D69A2">
        <w:t xml:space="preserve"> </w:t>
      </w:r>
      <w:r w:rsidR="000622C8">
        <w:t xml:space="preserve">million </w:t>
      </w:r>
      <w:r w:rsidR="005D69A2">
        <w:t xml:space="preserve">in 2030. </w:t>
      </w:r>
      <w:r w:rsidRPr="00D97C18">
        <w:t xml:space="preserve">At the </w:t>
      </w:r>
      <w:r>
        <w:t xml:space="preserve">proposed </w:t>
      </w:r>
      <w:r w:rsidRPr="00D97C18">
        <w:t>rate of $</w:t>
      </w:r>
      <w:r>
        <w:t>15</w:t>
      </w:r>
      <w:r w:rsidR="00381FD5">
        <w:t>4</w:t>
      </w:r>
      <w:r w:rsidRPr="00D97C18">
        <w:t>/AF</w:t>
      </w:r>
      <w:r>
        <w:t xml:space="preserve"> with annual deliveries of 25,000 AF</w:t>
      </w:r>
      <w:r w:rsidRPr="00D97C18">
        <w:t xml:space="preserve">, this </w:t>
      </w:r>
      <w:r>
        <w:t xml:space="preserve">will generate </w:t>
      </w:r>
      <w:r w:rsidRPr="00D97C18">
        <w:t>$</w:t>
      </w:r>
      <w:r>
        <w:t>3.8</w:t>
      </w:r>
      <w:r w:rsidR="00381FD5">
        <w:t>4</w:t>
      </w:r>
      <w:r w:rsidRPr="00D97C18">
        <w:t xml:space="preserve"> million in revenue</w:t>
      </w:r>
      <w:r w:rsidR="00AA3A08">
        <w:t xml:space="preserve"> in 2026</w:t>
      </w:r>
      <w:r>
        <w:t>.</w:t>
      </w:r>
      <w:r w:rsidR="00362392">
        <w:t xml:space="preserve"> </w:t>
      </w:r>
      <w:r w:rsidR="00362392" w:rsidRPr="00D97C18">
        <w:t xml:space="preserve">At the </w:t>
      </w:r>
      <w:r w:rsidR="00362392">
        <w:t xml:space="preserve">proposed maximum </w:t>
      </w:r>
      <w:r w:rsidR="00362392" w:rsidRPr="00D97C18">
        <w:t>rate of $</w:t>
      </w:r>
      <w:r w:rsidR="00362392">
        <w:t>17</w:t>
      </w:r>
      <w:r w:rsidR="00381FD5">
        <w:t>0</w:t>
      </w:r>
      <w:r w:rsidR="00362392" w:rsidRPr="00D97C18">
        <w:t xml:space="preserve">/AF this </w:t>
      </w:r>
      <w:r w:rsidR="00A0602A">
        <w:t xml:space="preserve">could </w:t>
      </w:r>
      <w:r w:rsidR="00362392">
        <w:t>generate</w:t>
      </w:r>
      <w:r w:rsidR="00A0602A">
        <w:t xml:space="preserve"> up to</w:t>
      </w:r>
      <w:r w:rsidR="00362392">
        <w:t xml:space="preserve"> </w:t>
      </w:r>
      <w:r w:rsidR="00362392" w:rsidRPr="00D97C18">
        <w:t>$</w:t>
      </w:r>
      <w:r w:rsidR="00AA3A08">
        <w:t>4.2</w:t>
      </w:r>
      <w:r w:rsidR="00381FD5">
        <w:t>5</w:t>
      </w:r>
      <w:r w:rsidR="00AA3A08">
        <w:t xml:space="preserve"> </w:t>
      </w:r>
      <w:r w:rsidR="00362392" w:rsidRPr="00D97C18">
        <w:t>million in revenue</w:t>
      </w:r>
      <w:r w:rsidR="00362392">
        <w:t>.</w:t>
      </w:r>
      <w:r w:rsidR="00D328A6">
        <w:br w:type="page"/>
      </w:r>
    </w:p>
    <w:p w14:paraId="34D7CF76" w14:textId="5D5C2794" w:rsidR="00D328A6" w:rsidRDefault="00D328A6" w:rsidP="003B1BC2">
      <w:pPr>
        <w:pStyle w:val="Caption"/>
      </w:pPr>
      <w:bookmarkStart w:id="36" w:name="_Ref207979621"/>
      <w:r>
        <w:lastRenderedPageBreak/>
        <w:t xml:space="preserve">Table </w:t>
      </w:r>
      <w:fldSimple w:instr=" SEQ Table \* ARABIC ">
        <w:r w:rsidR="00C52B63">
          <w:rPr>
            <w:noProof/>
          </w:rPr>
          <w:t>3</w:t>
        </w:r>
      </w:fldSimple>
      <w:bookmarkEnd w:id="36"/>
      <w:r>
        <w:t xml:space="preserve">. </w:t>
      </w:r>
      <w:r w:rsidRPr="00E76C53">
        <w:t>Projected Expenses Related to Agricultural Water Deliveries</w:t>
      </w:r>
    </w:p>
    <w:p w14:paraId="73F1267D" w14:textId="77777777" w:rsidR="003B1BC2" w:rsidRPr="003B1BC2" w:rsidRDefault="003B1BC2" w:rsidP="003B1BC2"/>
    <w:bookmarkStart w:id="37" w:name="_MON_1820742193"/>
    <w:bookmarkEnd w:id="37"/>
    <w:p w14:paraId="58FE79E3" w14:textId="07518DA8" w:rsidR="00F27463" w:rsidRDefault="00381FD5" w:rsidP="003B1BC2">
      <w:r>
        <w:object w:dxaOrig="9988" w:dyaOrig="11958" w14:anchorId="5077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7pt;height:597.45pt" o:ole="">
            <v:imagedata r:id="rId15" o:title=""/>
          </v:shape>
          <o:OLEObject Type="Embed" ProgID="Excel.Sheet.12" ShapeID="_x0000_i1025" DrawAspect="Content" ObjectID="_1821974057" r:id="rId16"/>
        </w:object>
      </w:r>
    </w:p>
    <w:p w14:paraId="1FF294D9" w14:textId="77777777" w:rsidR="00A0602A" w:rsidRDefault="00A0602A" w:rsidP="003B1BC2"/>
    <w:p w14:paraId="024420EB" w14:textId="160580C2" w:rsidR="00A0602A" w:rsidRPr="00A13B11" w:rsidRDefault="00D13CF0" w:rsidP="003B1BC2">
      <w:pPr>
        <w:pStyle w:val="Heading1"/>
        <w:rPr>
          <w:b w:val="0"/>
          <w:bCs w:val="0"/>
          <w:caps w:val="0"/>
        </w:rPr>
      </w:pPr>
      <w:r w:rsidRPr="00EB76CC">
        <w:lastRenderedPageBreak/>
        <w:t>agricultural</w:t>
      </w:r>
      <w:r>
        <w:t xml:space="preserve"> water rate</w:t>
      </w:r>
      <w:r w:rsidR="00A0602A" w:rsidRPr="00381FD5">
        <w:t xml:space="preserve"> </w:t>
      </w:r>
      <w:r w:rsidR="00442318" w:rsidRPr="00795B58">
        <w:t>increase</w:t>
      </w:r>
      <w:r w:rsidR="00442318">
        <w:t xml:space="preserve"> </w:t>
      </w:r>
      <w:r w:rsidR="00A0602A" w:rsidRPr="00381FD5">
        <w:t>Challenge</w:t>
      </w:r>
    </w:p>
    <w:p w14:paraId="2E94D529" w14:textId="1CBADB80" w:rsidR="00A0602A" w:rsidRDefault="00A0602A" w:rsidP="003B1BC2">
      <w:pPr>
        <w:pStyle w:val="Heading2"/>
      </w:pPr>
      <w:r w:rsidRPr="00CA757E">
        <w:t>GOVERNMENT</w:t>
      </w:r>
      <w:r w:rsidRPr="00381FD5">
        <w:t xml:space="preserve"> CODE </w:t>
      </w:r>
      <w:r w:rsidRPr="00381FD5">
        <w:rPr>
          <w:rFonts w:cstheme="minorHAnsi"/>
        </w:rPr>
        <w:t>§</w:t>
      </w:r>
      <w:r w:rsidRPr="00381FD5">
        <w:t xml:space="preserve"> 53759</w:t>
      </w:r>
    </w:p>
    <w:p w14:paraId="73213505" w14:textId="5F7E0DFA" w:rsidR="00A0602A" w:rsidRDefault="00A0602A" w:rsidP="0078277C">
      <w:pPr>
        <w:jc w:val="both"/>
      </w:pPr>
      <w:r>
        <w:t xml:space="preserve">In accordance with Government Code section 53759, any judicial action, challenge, or proceeding related to the establishment or modification of the proposed </w:t>
      </w:r>
      <w:r w:rsidR="00D13CF0">
        <w:t>agricultural water rate</w:t>
      </w:r>
      <w:r>
        <w:t xml:space="preserve"> </w:t>
      </w:r>
      <w:r w:rsidR="00442318">
        <w:t xml:space="preserve">Increase </w:t>
      </w:r>
      <w:r>
        <w:t xml:space="preserve">shall be commenced within 120 days of the effective date of the final adoption of </w:t>
      </w:r>
      <w:r w:rsidR="00D13CF0">
        <w:t>agricultural water rate</w:t>
      </w:r>
      <w:r w:rsidR="00442318">
        <w:t xml:space="preserve"> Increase</w:t>
      </w:r>
      <w:r>
        <w:t>. Pending the results of the protest tabulation, this final adoption is expected by December 31, 2025.</w:t>
      </w:r>
    </w:p>
    <w:p w14:paraId="0ED52697" w14:textId="77777777" w:rsidR="00A0602A" w:rsidRDefault="00A0602A" w:rsidP="003B1BC2">
      <w:pPr>
        <w:rPr>
          <w:sz w:val="28"/>
        </w:rPr>
      </w:pPr>
    </w:p>
    <w:p w14:paraId="4CE1BD49" w14:textId="32770A44" w:rsidR="00A0602A" w:rsidRPr="00A13B11" w:rsidRDefault="00A0602A" w:rsidP="00832F67">
      <w:pPr>
        <w:pStyle w:val="Heading2"/>
        <w:rPr>
          <w:b w:val="0"/>
          <w:bCs w:val="0"/>
        </w:rPr>
      </w:pPr>
      <w:r w:rsidRPr="00CA757E">
        <w:t>GOVERNMENT</w:t>
      </w:r>
      <w:r w:rsidRPr="00381FD5">
        <w:t xml:space="preserve"> CODE </w:t>
      </w:r>
      <w:r w:rsidRPr="00381FD5">
        <w:rPr>
          <w:rFonts w:cstheme="minorHAnsi"/>
        </w:rPr>
        <w:t>§§</w:t>
      </w:r>
      <w:r w:rsidRPr="00381FD5">
        <w:t xml:space="preserve"> 53759.1 AND 53759.2</w:t>
      </w:r>
    </w:p>
    <w:p w14:paraId="2848BE8E" w14:textId="63C87279" w:rsidR="00A0602A" w:rsidRDefault="00A0602A" w:rsidP="0078277C">
      <w:pPr>
        <w:jc w:val="both"/>
        <w:rPr>
          <w:szCs w:val="22"/>
        </w:rPr>
      </w:pPr>
      <w:r>
        <w:rPr>
          <w:szCs w:val="22"/>
        </w:rPr>
        <w:t xml:space="preserve">Assembly Bill (AB) 2257, effective January 1, 2025, codifies Government Code sections 53759.1 and 53759.2. Government Code section 53759.1 </w:t>
      </w:r>
      <w:r w:rsidR="00442318">
        <w:rPr>
          <w:szCs w:val="22"/>
        </w:rPr>
        <w:t xml:space="preserve">authorizes public agencies to implement an exhaustion of administrative remedies requirement in the context of a proposed Proposition 218 property related fee or assessment. If the local agency complies with certain specified requirements, property owners are required to submit a written objection regarding a proposed property related fee or assessment during the ratemaking process and by a specified deadline no less than 45 days after mailing of the notice pursuant to Proposition 218, and prohibited from challenging the property related fee or assessment in litigation if they did not submit a timely written objection.  To implement this requirement, the local agency is required, among other things, to prepare written responses to the timely submitted objections and present them to the local agency governing body, which will make certain specified determinations prior to the close of the Proposition 218 protest hearing. This process is intended to run concurrently with the Proposition 218 timeline and does not impact a property owner's ability to submit a protest pursuant to Proposition 218. </w:t>
      </w:r>
    </w:p>
    <w:p w14:paraId="70C4E99E" w14:textId="77777777" w:rsidR="00442318" w:rsidRDefault="00442318" w:rsidP="003B1BC2">
      <w:pPr>
        <w:rPr>
          <w:szCs w:val="22"/>
        </w:rPr>
      </w:pPr>
    </w:p>
    <w:p w14:paraId="24BFB6FE" w14:textId="2768556E" w:rsidR="00442318" w:rsidRDefault="00442318" w:rsidP="0078277C">
      <w:pPr>
        <w:jc w:val="both"/>
        <w:rPr>
          <w:szCs w:val="22"/>
        </w:rPr>
      </w:pPr>
      <w:r>
        <w:rPr>
          <w:szCs w:val="22"/>
        </w:rPr>
        <w:t>Government Code section 53759.2 specifies the scope of a Court's review of the administrative record of the underlying ratemaking proceeding, i</w:t>
      </w:r>
      <w:r w:rsidR="0054723C">
        <w:rPr>
          <w:szCs w:val="22"/>
        </w:rPr>
        <w:t>f</w:t>
      </w:r>
      <w:r>
        <w:rPr>
          <w:szCs w:val="22"/>
        </w:rPr>
        <w:t xml:space="preserve"> the local agency complied with Government Code section 53759.1 in adopting the property related fee or assessment being challenged.</w:t>
      </w:r>
    </w:p>
    <w:p w14:paraId="2A39B4BC" w14:textId="77777777" w:rsidR="00442318" w:rsidRDefault="00442318" w:rsidP="003B1BC2">
      <w:pPr>
        <w:rPr>
          <w:szCs w:val="22"/>
        </w:rPr>
      </w:pPr>
    </w:p>
    <w:p w14:paraId="509C2544" w14:textId="311227BD" w:rsidR="00442318" w:rsidRPr="00381FD5" w:rsidRDefault="00E13A85" w:rsidP="0078277C">
      <w:pPr>
        <w:jc w:val="both"/>
        <w:rPr>
          <w:szCs w:val="22"/>
        </w:rPr>
      </w:pPr>
      <w:r>
        <w:rPr>
          <w:szCs w:val="22"/>
        </w:rPr>
        <w:t>The District</w:t>
      </w:r>
      <w:r w:rsidR="00442318">
        <w:rPr>
          <w:szCs w:val="22"/>
        </w:rPr>
        <w:t xml:space="preserve"> intends to comply with and implement Government Code section 53759.1 with respect to the proposed </w:t>
      </w:r>
      <w:r w:rsidR="00D13CF0">
        <w:rPr>
          <w:szCs w:val="22"/>
        </w:rPr>
        <w:t>agricultural water rate</w:t>
      </w:r>
      <w:r w:rsidR="00442318">
        <w:rPr>
          <w:szCs w:val="22"/>
        </w:rPr>
        <w:t xml:space="preserve"> increase.  Property owners will be informed of the deadline and process to submit a written objection, and other dates related to </w:t>
      </w:r>
      <w:r>
        <w:rPr>
          <w:szCs w:val="22"/>
        </w:rPr>
        <w:t xml:space="preserve">the District’s </w:t>
      </w:r>
      <w:r w:rsidR="00442318">
        <w:rPr>
          <w:szCs w:val="22"/>
        </w:rPr>
        <w:t xml:space="preserve">compliance with this provision. </w:t>
      </w:r>
    </w:p>
    <w:sectPr w:rsidR="00442318" w:rsidRPr="00381FD5" w:rsidSect="00FD057B">
      <w:headerReference w:type="default" r:id="rId17"/>
      <w:footerReference w:type="default" r:id="rId1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739E" w14:textId="77777777" w:rsidR="00CE7707" w:rsidRDefault="00CE7707">
      <w:r>
        <w:separator/>
      </w:r>
    </w:p>
  </w:endnote>
  <w:endnote w:type="continuationSeparator" w:id="0">
    <w:p w14:paraId="41459A93" w14:textId="77777777" w:rsidR="00CE7707" w:rsidRDefault="00CE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8E6C" w14:textId="110D3AE1" w:rsidR="008C4A92" w:rsidRDefault="00EE4BED">
    <w:pPr>
      <w:pStyle w:val="Footer"/>
    </w:pPr>
    <w:r w:rsidRPr="00EE4BED">
      <w:rPr>
        <w:noProof/>
        <w:spacing w:val="-2"/>
        <w:sz w:val="16"/>
      </w:rPr>
      <w:t>3800522v3 / 19493.0001</w:t>
    </w:r>
    <w:r w:rsidR="006F5C0F" w:rsidRPr="006F5C0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44966"/>
      <w:docPartObj>
        <w:docPartGallery w:val="Page Numbers (Bottom of Page)"/>
        <w:docPartUnique/>
      </w:docPartObj>
    </w:sdtPr>
    <w:sdtEndPr>
      <w:rPr>
        <w:noProof/>
      </w:rPr>
    </w:sdtEndPr>
    <w:sdtContent>
      <w:p w14:paraId="7F5A9B24" w14:textId="44DDF74F" w:rsidR="00810B0A" w:rsidRDefault="008C4A92" w:rsidP="00280049">
        <w:pPr>
          <w:pStyle w:val="Footer"/>
        </w:pPr>
        <w:r w:rsidRPr="008C4A92">
          <w:rPr>
            <w:sz w:val="16"/>
            <w:szCs w:val="14"/>
          </w:rPr>
          <w:fldChar w:fldCharType="begin"/>
        </w:r>
        <w:r w:rsidRPr="008C4A92">
          <w:rPr>
            <w:sz w:val="16"/>
            <w:szCs w:val="14"/>
          </w:rPr>
          <w:instrText xml:space="preserve"> FILENAME \* MERGEFORMAT </w:instrText>
        </w:r>
        <w:r w:rsidRPr="008C4A92">
          <w:rPr>
            <w:sz w:val="16"/>
            <w:szCs w:val="14"/>
          </w:rPr>
          <w:fldChar w:fldCharType="separate"/>
        </w:r>
        <w:r w:rsidR="00C52B63">
          <w:rPr>
            <w:noProof/>
            <w:sz w:val="16"/>
            <w:szCs w:val="14"/>
          </w:rPr>
          <w:t>TID 218 Ag.docx</w:t>
        </w:r>
        <w:r w:rsidRPr="008C4A92">
          <w:rPr>
            <w:sz w:val="16"/>
            <w:szCs w:val="14"/>
          </w:rPr>
          <w:fldChar w:fldCharType="end"/>
        </w:r>
        <w:r>
          <w:tab/>
        </w:r>
        <w:r>
          <w:tab/>
        </w:r>
        <w:r w:rsidR="00810B0A">
          <w:fldChar w:fldCharType="begin"/>
        </w:r>
        <w:r w:rsidR="00810B0A">
          <w:instrText xml:space="preserve"> PAGE   \* MERGEFORMAT </w:instrText>
        </w:r>
        <w:r w:rsidR="00810B0A">
          <w:fldChar w:fldCharType="separate"/>
        </w:r>
        <w:r w:rsidR="00810B0A">
          <w:rPr>
            <w:noProof/>
          </w:rPr>
          <w:t>2</w:t>
        </w:r>
        <w:r w:rsidR="00810B0A">
          <w:rPr>
            <w:noProof/>
          </w:rPr>
          <w:fldChar w:fldCharType="end"/>
        </w:r>
      </w:p>
    </w:sdtContent>
  </w:sdt>
  <w:p w14:paraId="49798C25" w14:textId="4E94FB4B" w:rsidR="007C0108" w:rsidRPr="00445B51" w:rsidRDefault="00EE4BED" w:rsidP="006F5C0F">
    <w:pPr>
      <w:pStyle w:val="Footer"/>
      <w:tabs>
        <w:tab w:val="clear" w:pos="4320"/>
        <w:tab w:val="clear" w:pos="8640"/>
        <w:tab w:val="center" w:pos="4680"/>
        <w:tab w:val="right" w:pos="9360"/>
      </w:tabs>
    </w:pPr>
    <w:r w:rsidRPr="00EE4BED">
      <w:rPr>
        <w:noProof/>
        <w:spacing w:val="-2"/>
        <w:sz w:val="16"/>
      </w:rPr>
      <w:t>3800522v3 / 19493.0001</w:t>
    </w:r>
    <w:r w:rsidR="006F5C0F" w:rsidRPr="006F5C0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46D1" w14:textId="77777777" w:rsidR="00CE7707" w:rsidRDefault="00CE7707">
      <w:r>
        <w:separator/>
      </w:r>
    </w:p>
  </w:footnote>
  <w:footnote w:type="continuationSeparator" w:id="0">
    <w:p w14:paraId="2FEBDFBE" w14:textId="77777777" w:rsidR="00CE7707" w:rsidRDefault="00CE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3BA9" w14:textId="35103C23" w:rsidR="007C0108" w:rsidRPr="00FD057B" w:rsidRDefault="007C0108" w:rsidP="00FD0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FAC7400"/>
    <w:lvl w:ilvl="0">
      <w:start w:val="1"/>
      <w:numFmt w:val="bullet"/>
      <w:pStyle w:val="ListBullet3"/>
      <w:lvlText w:val="o"/>
      <w:lvlJc w:val="left"/>
      <w:pPr>
        <w:ind w:left="1368" w:hanging="360"/>
      </w:pPr>
      <w:rPr>
        <w:rFonts w:ascii="Courier New" w:hAnsi="Courier New" w:cs="Courier New" w:hint="default"/>
      </w:rPr>
    </w:lvl>
  </w:abstractNum>
  <w:abstractNum w:abstractNumId="1" w15:restartNumberingAfterBreak="0">
    <w:nsid w:val="FFFFFF83"/>
    <w:multiLevelType w:val="singleLevel"/>
    <w:tmpl w:val="068CA6CA"/>
    <w:lvl w:ilvl="0">
      <w:start w:val="1"/>
      <w:numFmt w:val="bullet"/>
      <w:pStyle w:val="ListBullet2"/>
      <w:lvlText w:val=""/>
      <w:lvlJc w:val="left"/>
      <w:pPr>
        <w:ind w:left="1080" w:hanging="360"/>
      </w:pPr>
      <w:rPr>
        <w:rFonts w:ascii="Symbol" w:hAnsi="Symbol" w:hint="default"/>
      </w:rPr>
    </w:lvl>
  </w:abstractNum>
  <w:abstractNum w:abstractNumId="2" w15:restartNumberingAfterBreak="0">
    <w:nsid w:val="FFFFFF89"/>
    <w:multiLevelType w:val="singleLevel"/>
    <w:tmpl w:val="475E6628"/>
    <w:lvl w:ilvl="0">
      <w:start w:val="1"/>
      <w:numFmt w:val="bullet"/>
      <w:lvlText w:val=""/>
      <w:lvlJc w:val="left"/>
      <w:pPr>
        <w:ind w:left="720" w:hanging="360"/>
      </w:pPr>
      <w:rPr>
        <w:rFonts w:ascii="Symbol" w:hAnsi="Symbol" w:hint="default"/>
      </w:rPr>
    </w:lvl>
  </w:abstractNum>
  <w:abstractNum w:abstractNumId="3" w15:restartNumberingAfterBreak="0">
    <w:nsid w:val="023C7771"/>
    <w:multiLevelType w:val="hybridMultilevel"/>
    <w:tmpl w:val="DCAC2C5E"/>
    <w:lvl w:ilvl="0" w:tplc="60889928">
      <w:start w:val="1"/>
      <w:numFmt w:val="bullet"/>
      <w:lvlText w:val=""/>
      <w:lvlJc w:val="left"/>
      <w:pPr>
        <w:ind w:left="720" w:hanging="360"/>
      </w:pPr>
      <w:rPr>
        <w:rFonts w:ascii="Symbol" w:hAnsi="Symbol" w:hint="default"/>
      </w:rPr>
    </w:lvl>
    <w:lvl w:ilvl="1" w:tplc="327AECE2" w:tentative="1">
      <w:start w:val="1"/>
      <w:numFmt w:val="bullet"/>
      <w:lvlText w:val="o"/>
      <w:lvlJc w:val="left"/>
      <w:pPr>
        <w:ind w:left="1440" w:hanging="360"/>
      </w:pPr>
      <w:rPr>
        <w:rFonts w:ascii="Courier New" w:hAnsi="Courier New" w:cs="Courier New" w:hint="default"/>
      </w:rPr>
    </w:lvl>
    <w:lvl w:ilvl="2" w:tplc="370C2F82" w:tentative="1">
      <w:start w:val="1"/>
      <w:numFmt w:val="bullet"/>
      <w:lvlText w:val=""/>
      <w:lvlJc w:val="left"/>
      <w:pPr>
        <w:ind w:left="2160" w:hanging="360"/>
      </w:pPr>
      <w:rPr>
        <w:rFonts w:ascii="Wingdings" w:hAnsi="Wingdings" w:hint="default"/>
      </w:rPr>
    </w:lvl>
    <w:lvl w:ilvl="3" w:tplc="DFEAAB3E" w:tentative="1">
      <w:start w:val="1"/>
      <w:numFmt w:val="bullet"/>
      <w:lvlText w:val=""/>
      <w:lvlJc w:val="left"/>
      <w:pPr>
        <w:ind w:left="2880" w:hanging="360"/>
      </w:pPr>
      <w:rPr>
        <w:rFonts w:ascii="Symbol" w:hAnsi="Symbol" w:hint="default"/>
      </w:rPr>
    </w:lvl>
    <w:lvl w:ilvl="4" w:tplc="178EF4B8" w:tentative="1">
      <w:start w:val="1"/>
      <w:numFmt w:val="bullet"/>
      <w:lvlText w:val="o"/>
      <w:lvlJc w:val="left"/>
      <w:pPr>
        <w:ind w:left="3600" w:hanging="360"/>
      </w:pPr>
      <w:rPr>
        <w:rFonts w:ascii="Courier New" w:hAnsi="Courier New" w:cs="Courier New" w:hint="default"/>
      </w:rPr>
    </w:lvl>
    <w:lvl w:ilvl="5" w:tplc="DE56111C" w:tentative="1">
      <w:start w:val="1"/>
      <w:numFmt w:val="bullet"/>
      <w:lvlText w:val=""/>
      <w:lvlJc w:val="left"/>
      <w:pPr>
        <w:ind w:left="4320" w:hanging="360"/>
      </w:pPr>
      <w:rPr>
        <w:rFonts w:ascii="Wingdings" w:hAnsi="Wingdings" w:hint="default"/>
      </w:rPr>
    </w:lvl>
    <w:lvl w:ilvl="6" w:tplc="C9429FB4" w:tentative="1">
      <w:start w:val="1"/>
      <w:numFmt w:val="bullet"/>
      <w:lvlText w:val=""/>
      <w:lvlJc w:val="left"/>
      <w:pPr>
        <w:ind w:left="5040" w:hanging="360"/>
      </w:pPr>
      <w:rPr>
        <w:rFonts w:ascii="Symbol" w:hAnsi="Symbol" w:hint="default"/>
      </w:rPr>
    </w:lvl>
    <w:lvl w:ilvl="7" w:tplc="3B1AC942" w:tentative="1">
      <w:start w:val="1"/>
      <w:numFmt w:val="bullet"/>
      <w:lvlText w:val="o"/>
      <w:lvlJc w:val="left"/>
      <w:pPr>
        <w:ind w:left="5760" w:hanging="360"/>
      </w:pPr>
      <w:rPr>
        <w:rFonts w:ascii="Courier New" w:hAnsi="Courier New" w:cs="Courier New" w:hint="default"/>
      </w:rPr>
    </w:lvl>
    <w:lvl w:ilvl="8" w:tplc="961C1F7C" w:tentative="1">
      <w:start w:val="1"/>
      <w:numFmt w:val="bullet"/>
      <w:lvlText w:val=""/>
      <w:lvlJc w:val="left"/>
      <w:pPr>
        <w:ind w:left="6480" w:hanging="360"/>
      </w:pPr>
      <w:rPr>
        <w:rFonts w:ascii="Wingdings" w:hAnsi="Wingdings" w:hint="default"/>
      </w:rPr>
    </w:lvl>
  </w:abstractNum>
  <w:abstractNum w:abstractNumId="4" w15:restartNumberingAfterBreak="0">
    <w:nsid w:val="3C664BFA"/>
    <w:multiLevelType w:val="hybridMultilevel"/>
    <w:tmpl w:val="E01C10A4"/>
    <w:lvl w:ilvl="0" w:tplc="003C35FE">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C6E47"/>
    <w:multiLevelType w:val="hybridMultilevel"/>
    <w:tmpl w:val="0846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6539E"/>
    <w:multiLevelType w:val="hybridMultilevel"/>
    <w:tmpl w:val="37E24F82"/>
    <w:lvl w:ilvl="0" w:tplc="DCDA2EA0">
      <w:start w:val="1"/>
      <w:numFmt w:val="bullet"/>
      <w:lvlText w:val=""/>
      <w:lvlJc w:val="left"/>
      <w:pPr>
        <w:ind w:left="720" w:hanging="360"/>
      </w:pPr>
      <w:rPr>
        <w:rFonts w:ascii="Symbol" w:hAnsi="Symbol" w:hint="default"/>
      </w:rPr>
    </w:lvl>
    <w:lvl w:ilvl="1" w:tplc="28CC79AE" w:tentative="1">
      <w:start w:val="1"/>
      <w:numFmt w:val="bullet"/>
      <w:lvlText w:val="o"/>
      <w:lvlJc w:val="left"/>
      <w:pPr>
        <w:ind w:left="1440" w:hanging="360"/>
      </w:pPr>
      <w:rPr>
        <w:rFonts w:ascii="Courier New" w:hAnsi="Courier New" w:cs="Courier New" w:hint="default"/>
      </w:rPr>
    </w:lvl>
    <w:lvl w:ilvl="2" w:tplc="AF60813A" w:tentative="1">
      <w:start w:val="1"/>
      <w:numFmt w:val="bullet"/>
      <w:lvlText w:val=""/>
      <w:lvlJc w:val="left"/>
      <w:pPr>
        <w:ind w:left="2160" w:hanging="360"/>
      </w:pPr>
      <w:rPr>
        <w:rFonts w:ascii="Wingdings" w:hAnsi="Wingdings" w:hint="default"/>
      </w:rPr>
    </w:lvl>
    <w:lvl w:ilvl="3" w:tplc="04AEE1CE" w:tentative="1">
      <w:start w:val="1"/>
      <w:numFmt w:val="bullet"/>
      <w:lvlText w:val=""/>
      <w:lvlJc w:val="left"/>
      <w:pPr>
        <w:ind w:left="2880" w:hanging="360"/>
      </w:pPr>
      <w:rPr>
        <w:rFonts w:ascii="Symbol" w:hAnsi="Symbol" w:hint="default"/>
      </w:rPr>
    </w:lvl>
    <w:lvl w:ilvl="4" w:tplc="58145B1A" w:tentative="1">
      <w:start w:val="1"/>
      <w:numFmt w:val="bullet"/>
      <w:lvlText w:val="o"/>
      <w:lvlJc w:val="left"/>
      <w:pPr>
        <w:ind w:left="3600" w:hanging="360"/>
      </w:pPr>
      <w:rPr>
        <w:rFonts w:ascii="Courier New" w:hAnsi="Courier New" w:cs="Courier New" w:hint="default"/>
      </w:rPr>
    </w:lvl>
    <w:lvl w:ilvl="5" w:tplc="575E3DC8" w:tentative="1">
      <w:start w:val="1"/>
      <w:numFmt w:val="bullet"/>
      <w:lvlText w:val=""/>
      <w:lvlJc w:val="left"/>
      <w:pPr>
        <w:ind w:left="4320" w:hanging="360"/>
      </w:pPr>
      <w:rPr>
        <w:rFonts w:ascii="Wingdings" w:hAnsi="Wingdings" w:hint="default"/>
      </w:rPr>
    </w:lvl>
    <w:lvl w:ilvl="6" w:tplc="91C26394" w:tentative="1">
      <w:start w:val="1"/>
      <w:numFmt w:val="bullet"/>
      <w:lvlText w:val=""/>
      <w:lvlJc w:val="left"/>
      <w:pPr>
        <w:ind w:left="5040" w:hanging="360"/>
      </w:pPr>
      <w:rPr>
        <w:rFonts w:ascii="Symbol" w:hAnsi="Symbol" w:hint="default"/>
      </w:rPr>
    </w:lvl>
    <w:lvl w:ilvl="7" w:tplc="B8C4DF56" w:tentative="1">
      <w:start w:val="1"/>
      <w:numFmt w:val="bullet"/>
      <w:lvlText w:val="o"/>
      <w:lvlJc w:val="left"/>
      <w:pPr>
        <w:ind w:left="5760" w:hanging="360"/>
      </w:pPr>
      <w:rPr>
        <w:rFonts w:ascii="Courier New" w:hAnsi="Courier New" w:cs="Courier New" w:hint="default"/>
      </w:rPr>
    </w:lvl>
    <w:lvl w:ilvl="8" w:tplc="641045FA" w:tentative="1">
      <w:start w:val="1"/>
      <w:numFmt w:val="bullet"/>
      <w:lvlText w:val=""/>
      <w:lvlJc w:val="left"/>
      <w:pPr>
        <w:ind w:left="6480" w:hanging="360"/>
      </w:pPr>
      <w:rPr>
        <w:rFonts w:ascii="Wingdings" w:hAnsi="Wingdings" w:hint="default"/>
      </w:rPr>
    </w:lvl>
  </w:abstractNum>
  <w:abstractNum w:abstractNumId="7" w15:restartNumberingAfterBreak="0">
    <w:nsid w:val="69FA69AB"/>
    <w:multiLevelType w:val="hybridMultilevel"/>
    <w:tmpl w:val="C866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02053"/>
    <w:multiLevelType w:val="hybridMultilevel"/>
    <w:tmpl w:val="A322D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D1ACD"/>
    <w:multiLevelType w:val="multilevel"/>
    <w:tmpl w:val="75FE114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900"/>
        </w:tabs>
        <w:ind w:left="90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975520753">
    <w:abstractNumId w:val="9"/>
  </w:num>
  <w:num w:numId="2" w16cid:durableId="708340428">
    <w:abstractNumId w:val="2"/>
  </w:num>
  <w:num w:numId="3" w16cid:durableId="2060282510">
    <w:abstractNumId w:val="1"/>
  </w:num>
  <w:num w:numId="4" w16cid:durableId="710416842">
    <w:abstractNumId w:val="0"/>
  </w:num>
  <w:num w:numId="5" w16cid:durableId="27342213">
    <w:abstractNumId w:val="9"/>
  </w:num>
  <w:num w:numId="6" w16cid:durableId="1727754999">
    <w:abstractNumId w:val="9"/>
  </w:num>
  <w:num w:numId="7" w16cid:durableId="1018963866">
    <w:abstractNumId w:val="9"/>
  </w:num>
  <w:num w:numId="8" w16cid:durableId="1969431961">
    <w:abstractNumId w:val="9"/>
  </w:num>
  <w:num w:numId="9" w16cid:durableId="207188954">
    <w:abstractNumId w:val="9"/>
  </w:num>
  <w:num w:numId="10" w16cid:durableId="954872060">
    <w:abstractNumId w:val="4"/>
  </w:num>
  <w:num w:numId="11" w16cid:durableId="1923678571">
    <w:abstractNumId w:val="1"/>
  </w:num>
  <w:num w:numId="12" w16cid:durableId="501745847">
    <w:abstractNumId w:val="0"/>
  </w:num>
  <w:num w:numId="13" w16cid:durableId="106706591">
    <w:abstractNumId w:val="9"/>
  </w:num>
  <w:num w:numId="14" w16cid:durableId="527260551">
    <w:abstractNumId w:val="9"/>
  </w:num>
  <w:num w:numId="15" w16cid:durableId="321466299">
    <w:abstractNumId w:val="9"/>
  </w:num>
  <w:num w:numId="16" w16cid:durableId="1550918239">
    <w:abstractNumId w:val="9"/>
  </w:num>
  <w:num w:numId="17" w16cid:durableId="1306163499">
    <w:abstractNumId w:val="9"/>
  </w:num>
  <w:num w:numId="18" w16cid:durableId="896012928">
    <w:abstractNumId w:val="4"/>
  </w:num>
  <w:num w:numId="19" w16cid:durableId="1923903616">
    <w:abstractNumId w:val="1"/>
  </w:num>
  <w:num w:numId="20" w16cid:durableId="1063025754">
    <w:abstractNumId w:val="0"/>
  </w:num>
  <w:num w:numId="21" w16cid:durableId="742606882">
    <w:abstractNumId w:val="6"/>
  </w:num>
  <w:num w:numId="22" w16cid:durableId="1896047259">
    <w:abstractNumId w:val="3"/>
  </w:num>
  <w:num w:numId="23" w16cid:durableId="888955489">
    <w:abstractNumId w:val="7"/>
  </w:num>
  <w:num w:numId="24" w16cid:durableId="2087457728">
    <w:abstractNumId w:val="5"/>
  </w:num>
  <w:num w:numId="25" w16cid:durableId="1395667089">
    <w:abstractNumId w:val="8"/>
  </w:num>
  <w:num w:numId="26" w16cid:durableId="1359307919">
    <w:abstractNumId w:val="9"/>
  </w:num>
  <w:num w:numId="27" w16cid:durableId="541284887">
    <w:abstractNumId w:val="9"/>
  </w:num>
  <w:num w:numId="28" w16cid:durableId="346448979">
    <w:abstractNumId w:val="9"/>
  </w:num>
  <w:num w:numId="29" w16cid:durableId="614412680">
    <w:abstractNumId w:val="9"/>
  </w:num>
  <w:num w:numId="30" w16cid:durableId="1192186507">
    <w:abstractNumId w:val="9"/>
  </w:num>
  <w:num w:numId="31" w16cid:durableId="995306290">
    <w:abstractNumId w:val="9"/>
  </w:num>
  <w:num w:numId="32" w16cid:durableId="143971614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63"/>
    <w:rsid w:val="0000072A"/>
    <w:rsid w:val="00034D53"/>
    <w:rsid w:val="0003601E"/>
    <w:rsid w:val="00037CA1"/>
    <w:rsid w:val="00052D48"/>
    <w:rsid w:val="00062238"/>
    <w:rsid w:val="000622C8"/>
    <w:rsid w:val="00070181"/>
    <w:rsid w:val="00073101"/>
    <w:rsid w:val="00080BCD"/>
    <w:rsid w:val="00082EA6"/>
    <w:rsid w:val="0008330C"/>
    <w:rsid w:val="00083CB5"/>
    <w:rsid w:val="00086E7E"/>
    <w:rsid w:val="00093E05"/>
    <w:rsid w:val="00096324"/>
    <w:rsid w:val="000A0718"/>
    <w:rsid w:val="000A3EA3"/>
    <w:rsid w:val="000A4C18"/>
    <w:rsid w:val="000B0A70"/>
    <w:rsid w:val="000C250D"/>
    <w:rsid w:val="000C6117"/>
    <w:rsid w:val="000C7E06"/>
    <w:rsid w:val="000D0D3F"/>
    <w:rsid w:val="000F1B58"/>
    <w:rsid w:val="000F5F20"/>
    <w:rsid w:val="000F6F76"/>
    <w:rsid w:val="000F7DAF"/>
    <w:rsid w:val="001153F7"/>
    <w:rsid w:val="001318D8"/>
    <w:rsid w:val="00132B1C"/>
    <w:rsid w:val="0013415C"/>
    <w:rsid w:val="001637B3"/>
    <w:rsid w:val="00164BDD"/>
    <w:rsid w:val="00171185"/>
    <w:rsid w:val="00173771"/>
    <w:rsid w:val="00193649"/>
    <w:rsid w:val="00193EE1"/>
    <w:rsid w:val="001A1005"/>
    <w:rsid w:val="001A3CA6"/>
    <w:rsid w:val="001B5EBF"/>
    <w:rsid w:val="001B74ED"/>
    <w:rsid w:val="001C7614"/>
    <w:rsid w:val="001E2A6F"/>
    <w:rsid w:val="001E476F"/>
    <w:rsid w:val="001E5D11"/>
    <w:rsid w:val="001E7176"/>
    <w:rsid w:val="001F0393"/>
    <w:rsid w:val="001F087D"/>
    <w:rsid w:val="00207418"/>
    <w:rsid w:val="00221738"/>
    <w:rsid w:val="00234ACA"/>
    <w:rsid w:val="00235822"/>
    <w:rsid w:val="002615D9"/>
    <w:rsid w:val="00263ACB"/>
    <w:rsid w:val="00265FAD"/>
    <w:rsid w:val="0026709D"/>
    <w:rsid w:val="002704E3"/>
    <w:rsid w:val="00271C1E"/>
    <w:rsid w:val="002755AA"/>
    <w:rsid w:val="00280049"/>
    <w:rsid w:val="00284F30"/>
    <w:rsid w:val="00294A0D"/>
    <w:rsid w:val="002962B8"/>
    <w:rsid w:val="002A2317"/>
    <w:rsid w:val="002A4060"/>
    <w:rsid w:val="002B2E01"/>
    <w:rsid w:val="002B5DCB"/>
    <w:rsid w:val="002C5A43"/>
    <w:rsid w:val="002E0D50"/>
    <w:rsid w:val="002E5675"/>
    <w:rsid w:val="002F7A83"/>
    <w:rsid w:val="00305C32"/>
    <w:rsid w:val="003125DE"/>
    <w:rsid w:val="00316F1E"/>
    <w:rsid w:val="00322BC9"/>
    <w:rsid w:val="003306E2"/>
    <w:rsid w:val="003333D7"/>
    <w:rsid w:val="0033628E"/>
    <w:rsid w:val="00354FDE"/>
    <w:rsid w:val="0036069F"/>
    <w:rsid w:val="00362392"/>
    <w:rsid w:val="00374331"/>
    <w:rsid w:val="00381FD5"/>
    <w:rsid w:val="003A6A49"/>
    <w:rsid w:val="003B1BC2"/>
    <w:rsid w:val="003B288E"/>
    <w:rsid w:val="003C1E19"/>
    <w:rsid w:val="003C4ADB"/>
    <w:rsid w:val="003E1F2F"/>
    <w:rsid w:val="003E3DC8"/>
    <w:rsid w:val="003E4309"/>
    <w:rsid w:val="003E4EA6"/>
    <w:rsid w:val="003F7AC8"/>
    <w:rsid w:val="00415D3E"/>
    <w:rsid w:val="004202E6"/>
    <w:rsid w:val="0042367B"/>
    <w:rsid w:val="00433EEB"/>
    <w:rsid w:val="004406A5"/>
    <w:rsid w:val="00442318"/>
    <w:rsid w:val="0044497B"/>
    <w:rsid w:val="00445B51"/>
    <w:rsid w:val="00445D4B"/>
    <w:rsid w:val="004464BC"/>
    <w:rsid w:val="00473976"/>
    <w:rsid w:val="00497A1F"/>
    <w:rsid w:val="004A0542"/>
    <w:rsid w:val="004B07D8"/>
    <w:rsid w:val="004B3055"/>
    <w:rsid w:val="004C21C1"/>
    <w:rsid w:val="004D3226"/>
    <w:rsid w:val="004E5508"/>
    <w:rsid w:val="004F05CB"/>
    <w:rsid w:val="00503265"/>
    <w:rsid w:val="00531EED"/>
    <w:rsid w:val="00546622"/>
    <w:rsid w:val="0054723C"/>
    <w:rsid w:val="00556E71"/>
    <w:rsid w:val="00560B01"/>
    <w:rsid w:val="00561BBC"/>
    <w:rsid w:val="00562981"/>
    <w:rsid w:val="00564FB1"/>
    <w:rsid w:val="00577045"/>
    <w:rsid w:val="00582977"/>
    <w:rsid w:val="00585430"/>
    <w:rsid w:val="005A7D84"/>
    <w:rsid w:val="005B319F"/>
    <w:rsid w:val="005B5922"/>
    <w:rsid w:val="005B5DD6"/>
    <w:rsid w:val="005B6C42"/>
    <w:rsid w:val="005B7614"/>
    <w:rsid w:val="005C20B4"/>
    <w:rsid w:val="005C6149"/>
    <w:rsid w:val="005C64A4"/>
    <w:rsid w:val="005D69A2"/>
    <w:rsid w:val="005E6DB6"/>
    <w:rsid w:val="00610E27"/>
    <w:rsid w:val="00616E22"/>
    <w:rsid w:val="00617884"/>
    <w:rsid w:val="00620410"/>
    <w:rsid w:val="006219C0"/>
    <w:rsid w:val="00631CD1"/>
    <w:rsid w:val="00634E69"/>
    <w:rsid w:val="00640705"/>
    <w:rsid w:val="00650CE6"/>
    <w:rsid w:val="0065282D"/>
    <w:rsid w:val="00656ED2"/>
    <w:rsid w:val="00664711"/>
    <w:rsid w:val="00677EEF"/>
    <w:rsid w:val="006806EE"/>
    <w:rsid w:val="00680967"/>
    <w:rsid w:val="00681979"/>
    <w:rsid w:val="00681D28"/>
    <w:rsid w:val="00693623"/>
    <w:rsid w:val="00695F76"/>
    <w:rsid w:val="006A6C73"/>
    <w:rsid w:val="006B028B"/>
    <w:rsid w:val="006B24DD"/>
    <w:rsid w:val="006C3CF2"/>
    <w:rsid w:val="006D20EB"/>
    <w:rsid w:val="006F283D"/>
    <w:rsid w:val="006F2CEB"/>
    <w:rsid w:val="006F5C0F"/>
    <w:rsid w:val="006F6228"/>
    <w:rsid w:val="006F7DCF"/>
    <w:rsid w:val="00700439"/>
    <w:rsid w:val="007170A3"/>
    <w:rsid w:val="007215B0"/>
    <w:rsid w:val="00721E2E"/>
    <w:rsid w:val="00723BA3"/>
    <w:rsid w:val="00723FFC"/>
    <w:rsid w:val="00724EF2"/>
    <w:rsid w:val="00727BBE"/>
    <w:rsid w:val="00782726"/>
    <w:rsid w:val="0078277C"/>
    <w:rsid w:val="007934B1"/>
    <w:rsid w:val="00795B58"/>
    <w:rsid w:val="007C0108"/>
    <w:rsid w:val="007C0EA3"/>
    <w:rsid w:val="007D168F"/>
    <w:rsid w:val="007D5442"/>
    <w:rsid w:val="007D7C3E"/>
    <w:rsid w:val="007E5FD8"/>
    <w:rsid w:val="007E61CC"/>
    <w:rsid w:val="007F2C04"/>
    <w:rsid w:val="007F3270"/>
    <w:rsid w:val="00810B0A"/>
    <w:rsid w:val="00811894"/>
    <w:rsid w:val="00813647"/>
    <w:rsid w:val="008171E8"/>
    <w:rsid w:val="00832F67"/>
    <w:rsid w:val="00833E89"/>
    <w:rsid w:val="008356F0"/>
    <w:rsid w:val="008375D2"/>
    <w:rsid w:val="008422A6"/>
    <w:rsid w:val="00847F0F"/>
    <w:rsid w:val="008507BB"/>
    <w:rsid w:val="00872A20"/>
    <w:rsid w:val="008807E5"/>
    <w:rsid w:val="00881305"/>
    <w:rsid w:val="008907DC"/>
    <w:rsid w:val="00890F7B"/>
    <w:rsid w:val="008946C7"/>
    <w:rsid w:val="00895BFB"/>
    <w:rsid w:val="008B726D"/>
    <w:rsid w:val="008C206A"/>
    <w:rsid w:val="008C4A92"/>
    <w:rsid w:val="008D0D1C"/>
    <w:rsid w:val="008D5C10"/>
    <w:rsid w:val="008E410C"/>
    <w:rsid w:val="0090083C"/>
    <w:rsid w:val="00900E04"/>
    <w:rsid w:val="00907305"/>
    <w:rsid w:val="009208F1"/>
    <w:rsid w:val="00940962"/>
    <w:rsid w:val="00942510"/>
    <w:rsid w:val="00955970"/>
    <w:rsid w:val="00971B0C"/>
    <w:rsid w:val="00980FB5"/>
    <w:rsid w:val="00981948"/>
    <w:rsid w:val="009853C2"/>
    <w:rsid w:val="00991977"/>
    <w:rsid w:val="009965A1"/>
    <w:rsid w:val="00997CCE"/>
    <w:rsid w:val="009B2860"/>
    <w:rsid w:val="009B2AE1"/>
    <w:rsid w:val="009B31B8"/>
    <w:rsid w:val="009B78EC"/>
    <w:rsid w:val="009C0015"/>
    <w:rsid w:val="00A0602A"/>
    <w:rsid w:val="00A13B11"/>
    <w:rsid w:val="00A13B7B"/>
    <w:rsid w:val="00A273F6"/>
    <w:rsid w:val="00A36CB4"/>
    <w:rsid w:val="00A37867"/>
    <w:rsid w:val="00A40D5F"/>
    <w:rsid w:val="00A5616B"/>
    <w:rsid w:val="00A56DB2"/>
    <w:rsid w:val="00A622E8"/>
    <w:rsid w:val="00A754D1"/>
    <w:rsid w:val="00A75BD0"/>
    <w:rsid w:val="00A766CB"/>
    <w:rsid w:val="00A83A6E"/>
    <w:rsid w:val="00A84B21"/>
    <w:rsid w:val="00A85CA8"/>
    <w:rsid w:val="00A87147"/>
    <w:rsid w:val="00A8762B"/>
    <w:rsid w:val="00A94174"/>
    <w:rsid w:val="00A95A1A"/>
    <w:rsid w:val="00AA3A08"/>
    <w:rsid w:val="00AC64CA"/>
    <w:rsid w:val="00AE5AD0"/>
    <w:rsid w:val="00AF0A60"/>
    <w:rsid w:val="00AF2244"/>
    <w:rsid w:val="00AF4F85"/>
    <w:rsid w:val="00B00508"/>
    <w:rsid w:val="00B03EE4"/>
    <w:rsid w:val="00B04F2A"/>
    <w:rsid w:val="00B065F4"/>
    <w:rsid w:val="00B07132"/>
    <w:rsid w:val="00B42248"/>
    <w:rsid w:val="00B42337"/>
    <w:rsid w:val="00B437C9"/>
    <w:rsid w:val="00B46C70"/>
    <w:rsid w:val="00B56FB3"/>
    <w:rsid w:val="00B6489C"/>
    <w:rsid w:val="00B725B5"/>
    <w:rsid w:val="00B83AAF"/>
    <w:rsid w:val="00B83C28"/>
    <w:rsid w:val="00B85BDE"/>
    <w:rsid w:val="00B913C8"/>
    <w:rsid w:val="00B97154"/>
    <w:rsid w:val="00BA0F12"/>
    <w:rsid w:val="00BC1C4E"/>
    <w:rsid w:val="00BC220A"/>
    <w:rsid w:val="00BD6431"/>
    <w:rsid w:val="00BE45E1"/>
    <w:rsid w:val="00BE4627"/>
    <w:rsid w:val="00BE60C8"/>
    <w:rsid w:val="00BF4571"/>
    <w:rsid w:val="00BF487E"/>
    <w:rsid w:val="00BF5AE6"/>
    <w:rsid w:val="00BF7F73"/>
    <w:rsid w:val="00C21E6C"/>
    <w:rsid w:val="00C24E51"/>
    <w:rsid w:val="00C363DE"/>
    <w:rsid w:val="00C4363C"/>
    <w:rsid w:val="00C47131"/>
    <w:rsid w:val="00C502FE"/>
    <w:rsid w:val="00C50ACD"/>
    <w:rsid w:val="00C50E07"/>
    <w:rsid w:val="00C52B63"/>
    <w:rsid w:val="00C54B6E"/>
    <w:rsid w:val="00C74EFC"/>
    <w:rsid w:val="00C808AD"/>
    <w:rsid w:val="00C81142"/>
    <w:rsid w:val="00C83A43"/>
    <w:rsid w:val="00C83D56"/>
    <w:rsid w:val="00C83E65"/>
    <w:rsid w:val="00C85CE6"/>
    <w:rsid w:val="00C935F8"/>
    <w:rsid w:val="00CA05E3"/>
    <w:rsid w:val="00CA4068"/>
    <w:rsid w:val="00CA757E"/>
    <w:rsid w:val="00CC7C94"/>
    <w:rsid w:val="00CD008A"/>
    <w:rsid w:val="00CD55BD"/>
    <w:rsid w:val="00CD6AB7"/>
    <w:rsid w:val="00CE0896"/>
    <w:rsid w:val="00CE7707"/>
    <w:rsid w:val="00D05632"/>
    <w:rsid w:val="00D10BC3"/>
    <w:rsid w:val="00D10F6B"/>
    <w:rsid w:val="00D13CF0"/>
    <w:rsid w:val="00D27F74"/>
    <w:rsid w:val="00D328A6"/>
    <w:rsid w:val="00D36DCF"/>
    <w:rsid w:val="00D40A30"/>
    <w:rsid w:val="00D42785"/>
    <w:rsid w:val="00D4388F"/>
    <w:rsid w:val="00D50039"/>
    <w:rsid w:val="00D55BF9"/>
    <w:rsid w:val="00D746D8"/>
    <w:rsid w:val="00D83340"/>
    <w:rsid w:val="00D97C18"/>
    <w:rsid w:val="00DB3808"/>
    <w:rsid w:val="00DC078C"/>
    <w:rsid w:val="00DC4251"/>
    <w:rsid w:val="00DD349E"/>
    <w:rsid w:val="00DD6837"/>
    <w:rsid w:val="00DE0ED5"/>
    <w:rsid w:val="00DE7F94"/>
    <w:rsid w:val="00E00DF8"/>
    <w:rsid w:val="00E13A85"/>
    <w:rsid w:val="00E22124"/>
    <w:rsid w:val="00E340E8"/>
    <w:rsid w:val="00E37608"/>
    <w:rsid w:val="00E44CFC"/>
    <w:rsid w:val="00E51DF9"/>
    <w:rsid w:val="00E61964"/>
    <w:rsid w:val="00E6364D"/>
    <w:rsid w:val="00E736B6"/>
    <w:rsid w:val="00E77EAD"/>
    <w:rsid w:val="00E80B4F"/>
    <w:rsid w:val="00E8417D"/>
    <w:rsid w:val="00E91798"/>
    <w:rsid w:val="00E9444E"/>
    <w:rsid w:val="00E96609"/>
    <w:rsid w:val="00E97B90"/>
    <w:rsid w:val="00EA217A"/>
    <w:rsid w:val="00EA68B8"/>
    <w:rsid w:val="00EB3E4A"/>
    <w:rsid w:val="00EB76CC"/>
    <w:rsid w:val="00EC1CB2"/>
    <w:rsid w:val="00EC4413"/>
    <w:rsid w:val="00EC7068"/>
    <w:rsid w:val="00ED42A5"/>
    <w:rsid w:val="00ED4F97"/>
    <w:rsid w:val="00EE14FB"/>
    <w:rsid w:val="00EE2288"/>
    <w:rsid w:val="00EE4BED"/>
    <w:rsid w:val="00EF266B"/>
    <w:rsid w:val="00F01C54"/>
    <w:rsid w:val="00F01DD4"/>
    <w:rsid w:val="00F04BBE"/>
    <w:rsid w:val="00F16911"/>
    <w:rsid w:val="00F27463"/>
    <w:rsid w:val="00F31FBB"/>
    <w:rsid w:val="00F37616"/>
    <w:rsid w:val="00F47FE2"/>
    <w:rsid w:val="00F6005C"/>
    <w:rsid w:val="00F60D84"/>
    <w:rsid w:val="00F633C9"/>
    <w:rsid w:val="00F637EA"/>
    <w:rsid w:val="00F7160B"/>
    <w:rsid w:val="00F75975"/>
    <w:rsid w:val="00F76959"/>
    <w:rsid w:val="00F934B1"/>
    <w:rsid w:val="00FA075B"/>
    <w:rsid w:val="00FC1B54"/>
    <w:rsid w:val="00FD012A"/>
    <w:rsid w:val="00FD057B"/>
    <w:rsid w:val="00FD3CFD"/>
    <w:rsid w:val="00FD62E1"/>
    <w:rsid w:val="00FD6889"/>
    <w:rsid w:val="00FE5B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E13FA"/>
  <w15:docId w15:val="{F44C5D57-BF56-4143-AA6E-DCBBD767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28"/>
    <w:rPr>
      <w:sz w:val="22"/>
    </w:rPr>
  </w:style>
  <w:style w:type="paragraph" w:styleId="Heading1">
    <w:name w:val="heading 1"/>
    <w:basedOn w:val="Normal"/>
    <w:next w:val="Normal"/>
    <w:link w:val="Heading1Char"/>
    <w:uiPriority w:val="1"/>
    <w:qFormat/>
    <w:rsid w:val="00B83C28"/>
    <w:pPr>
      <w:keepNext/>
      <w:numPr>
        <w:numId w:val="17"/>
      </w:numPr>
      <w:spacing w:before="120" w:after="120"/>
      <w:contextualSpacing/>
      <w:outlineLvl w:val="0"/>
    </w:pPr>
    <w:rPr>
      <w:rFonts w:ascii="Century Gothic" w:hAnsi="Century Gothic"/>
      <w:b/>
      <w:bCs/>
      <w:caps/>
      <w:color w:val="27406D"/>
      <w:kern w:val="32"/>
      <w:sz w:val="32"/>
      <w:szCs w:val="32"/>
    </w:rPr>
  </w:style>
  <w:style w:type="paragraph" w:styleId="Heading2">
    <w:name w:val="heading 2"/>
    <w:basedOn w:val="Normal"/>
    <w:next w:val="Normal"/>
    <w:link w:val="Heading2Char"/>
    <w:uiPriority w:val="1"/>
    <w:qFormat/>
    <w:rsid w:val="00B83C28"/>
    <w:pPr>
      <w:keepNext/>
      <w:numPr>
        <w:ilvl w:val="1"/>
        <w:numId w:val="17"/>
      </w:numPr>
      <w:spacing w:before="120" w:after="120"/>
      <w:contextualSpacing/>
      <w:outlineLvl w:val="1"/>
    </w:pPr>
    <w:rPr>
      <w:rFonts w:ascii="Century Gothic" w:hAnsi="Century Gothic"/>
      <w:b/>
      <w:bCs/>
      <w:iCs/>
      <w:caps/>
      <w:color w:val="306786" w:themeColor="accent3"/>
      <w:sz w:val="26"/>
      <w:szCs w:val="28"/>
    </w:rPr>
  </w:style>
  <w:style w:type="paragraph" w:styleId="Heading3">
    <w:name w:val="heading 3"/>
    <w:basedOn w:val="Normal"/>
    <w:next w:val="Normal"/>
    <w:link w:val="Heading3Char"/>
    <w:uiPriority w:val="1"/>
    <w:qFormat/>
    <w:rsid w:val="00B83C28"/>
    <w:pPr>
      <w:keepNext/>
      <w:numPr>
        <w:ilvl w:val="2"/>
        <w:numId w:val="17"/>
      </w:numPr>
      <w:tabs>
        <w:tab w:val="clear" w:pos="900"/>
        <w:tab w:val="num" w:pos="720"/>
      </w:tabs>
      <w:spacing w:before="120"/>
      <w:ind w:left="720"/>
      <w:contextualSpacing/>
      <w:outlineLvl w:val="2"/>
    </w:pPr>
    <w:rPr>
      <w:rFonts w:ascii="Century Gothic" w:hAnsi="Century Gothic"/>
      <w:b/>
      <w:bCs/>
      <w:caps/>
      <w:color w:val="F6823C" w:themeColor="accent4"/>
      <w:szCs w:val="26"/>
    </w:rPr>
  </w:style>
  <w:style w:type="paragraph" w:styleId="Heading4">
    <w:name w:val="heading 4"/>
    <w:basedOn w:val="Normal"/>
    <w:next w:val="Normal"/>
    <w:uiPriority w:val="1"/>
    <w:qFormat/>
    <w:rsid w:val="00B83C28"/>
    <w:pPr>
      <w:keepNext/>
      <w:numPr>
        <w:ilvl w:val="3"/>
        <w:numId w:val="17"/>
      </w:numPr>
      <w:contextualSpacing/>
      <w:outlineLvl w:val="3"/>
    </w:pPr>
    <w:rPr>
      <w:rFonts w:ascii="Century Gothic" w:hAnsi="Century Gothic" w:cs="Times New Roman"/>
      <w:b/>
      <w:bCs/>
      <w:caps/>
      <w:color w:val="27406D" w:themeColor="accent1"/>
      <w:sz w:val="20"/>
      <w:szCs w:val="28"/>
    </w:rPr>
  </w:style>
  <w:style w:type="paragraph" w:styleId="Heading5">
    <w:name w:val="heading 5"/>
    <w:basedOn w:val="Normal"/>
    <w:next w:val="Normal"/>
    <w:uiPriority w:val="1"/>
    <w:qFormat/>
    <w:rsid w:val="00B83C28"/>
    <w:pPr>
      <w:numPr>
        <w:ilvl w:val="4"/>
        <w:numId w:val="17"/>
      </w:numPr>
      <w:contextualSpacing/>
      <w:outlineLvl w:val="4"/>
    </w:pPr>
    <w:rPr>
      <w:rFonts w:ascii="Century Gothic" w:hAnsi="Century Gothic"/>
      <w:bCs/>
      <w:iCs/>
      <w:caps/>
      <w:color w:val="27406D"/>
      <w:sz w:val="18"/>
      <w:szCs w:val="26"/>
    </w:rPr>
  </w:style>
  <w:style w:type="paragraph" w:styleId="Heading6">
    <w:name w:val="heading 6"/>
    <w:basedOn w:val="Normal"/>
    <w:next w:val="Normal"/>
    <w:autoRedefine/>
    <w:uiPriority w:val="1"/>
    <w:qFormat/>
    <w:rsid w:val="00B83C28"/>
    <w:pPr>
      <w:contextualSpacing/>
      <w:outlineLvl w:val="5"/>
    </w:pPr>
    <w:rPr>
      <w:rFonts w:ascii="Century Gothic" w:hAnsi="Century Gothic" w:cs="Times New Roman"/>
      <w:b/>
      <w:color w:val="27406D" w:themeColor="accent1"/>
      <w:sz w:val="18"/>
      <w:szCs w:val="22"/>
    </w:rPr>
  </w:style>
  <w:style w:type="paragraph" w:styleId="Heading7">
    <w:name w:val="heading 7"/>
    <w:basedOn w:val="Normal"/>
    <w:next w:val="Normal"/>
    <w:autoRedefine/>
    <w:uiPriority w:val="1"/>
    <w:qFormat/>
    <w:rsid w:val="00B83C28"/>
    <w:pPr>
      <w:contextualSpacing/>
      <w:outlineLvl w:val="6"/>
    </w:pPr>
    <w:rPr>
      <w:rFonts w:ascii="Century Gothic" w:hAnsi="Century Gothic" w:cs="Times New Roman"/>
      <w:b/>
      <w:color w:val="27406D" w:themeColor="accent1"/>
      <w:sz w:val="18"/>
    </w:rPr>
  </w:style>
  <w:style w:type="paragraph" w:styleId="Heading8">
    <w:name w:val="heading 8"/>
    <w:aliases w:val="Table of Contents &amp; Lists Style"/>
    <w:basedOn w:val="Normal"/>
    <w:next w:val="Normal"/>
    <w:semiHidden/>
    <w:qFormat/>
    <w:rsid w:val="00B83C28"/>
    <w:pPr>
      <w:spacing w:after="120"/>
      <w:outlineLvl w:val="7"/>
    </w:pPr>
    <w:rPr>
      <w:rFonts w:cs="Times New Roman"/>
      <w:iCs/>
    </w:rPr>
  </w:style>
  <w:style w:type="paragraph" w:styleId="Heading9">
    <w:name w:val="heading 9"/>
    <w:basedOn w:val="Normal"/>
    <w:next w:val="Normal"/>
    <w:rsid w:val="008375D2"/>
    <w:pPr>
      <w:numPr>
        <w:ilvl w:val="8"/>
        <w:numId w:val="17"/>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1"/>
    <w:semiHidden/>
    <w:qFormat/>
    <w:rsid w:val="00B83C28"/>
    <w:pPr>
      <w:tabs>
        <w:tab w:val="right" w:pos="9360"/>
      </w:tabs>
      <w:contextualSpacing/>
    </w:pPr>
    <w:rPr>
      <w:rFonts w:cs="Calibri Light"/>
      <w:iCs/>
      <w:color w:val="5E5E5E" w:themeColor="text2"/>
      <w:sz w:val="16"/>
      <w:szCs w:val="16"/>
    </w:rPr>
  </w:style>
  <w:style w:type="paragraph" w:styleId="Footer">
    <w:name w:val="footer"/>
    <w:basedOn w:val="Normal"/>
    <w:link w:val="FooterChar"/>
    <w:uiPriority w:val="99"/>
    <w:rsid w:val="00173771"/>
    <w:pPr>
      <w:tabs>
        <w:tab w:val="center" w:pos="4320"/>
        <w:tab w:val="right" w:pos="8640"/>
      </w:tabs>
    </w:pPr>
  </w:style>
  <w:style w:type="character" w:styleId="PageNumber">
    <w:name w:val="page number"/>
    <w:basedOn w:val="DefaultParagraphFont"/>
    <w:semiHidden/>
    <w:rsid w:val="00173771"/>
  </w:style>
  <w:style w:type="paragraph" w:styleId="DocumentMap">
    <w:name w:val="Document Map"/>
    <w:basedOn w:val="Normal"/>
    <w:semiHidden/>
    <w:rsid w:val="00173771"/>
    <w:pPr>
      <w:shd w:val="clear" w:color="auto" w:fill="000080"/>
    </w:pPr>
    <w:rPr>
      <w:rFonts w:ascii="Tahoma" w:hAnsi="Tahoma" w:cs="Tahoma"/>
    </w:rPr>
  </w:style>
  <w:style w:type="paragraph" w:styleId="Caption">
    <w:name w:val="caption"/>
    <w:basedOn w:val="Normal"/>
    <w:next w:val="Normal"/>
    <w:autoRedefine/>
    <w:uiPriority w:val="3"/>
    <w:qFormat/>
    <w:rsid w:val="003B1BC2"/>
    <w:pPr>
      <w:keepNext/>
      <w:contextualSpacing/>
      <w:jc w:val="center"/>
    </w:pPr>
    <w:rPr>
      <w:rFonts w:ascii="Calibri Light" w:hAnsi="Calibri Light"/>
      <w:b/>
    </w:rPr>
  </w:style>
  <w:style w:type="paragraph" w:styleId="TOC1">
    <w:name w:val="toc 1"/>
    <w:basedOn w:val="Normal"/>
    <w:next w:val="Normal"/>
    <w:autoRedefine/>
    <w:uiPriority w:val="39"/>
    <w:rsid w:val="00C21E6C"/>
    <w:pPr>
      <w:tabs>
        <w:tab w:val="left" w:pos="480"/>
        <w:tab w:val="right" w:leader="dot" w:pos="9350"/>
      </w:tabs>
      <w:spacing w:before="120"/>
      <w:contextualSpacing/>
    </w:pPr>
    <w:rPr>
      <w:b/>
      <w:noProof/>
    </w:rPr>
  </w:style>
  <w:style w:type="paragraph" w:styleId="TOC2">
    <w:name w:val="toc 2"/>
    <w:basedOn w:val="Normal"/>
    <w:next w:val="Normal"/>
    <w:autoRedefine/>
    <w:uiPriority w:val="39"/>
    <w:rsid w:val="0044497B"/>
    <w:pPr>
      <w:tabs>
        <w:tab w:val="left" w:pos="990"/>
        <w:tab w:val="left" w:pos="1080"/>
        <w:tab w:val="right" w:leader="dot" w:pos="9350"/>
      </w:tabs>
      <w:spacing w:after="120"/>
      <w:ind w:left="446"/>
      <w:contextualSpacing/>
    </w:pPr>
  </w:style>
  <w:style w:type="paragraph" w:styleId="TOC3">
    <w:name w:val="toc 3"/>
    <w:basedOn w:val="Normal"/>
    <w:next w:val="Normal"/>
    <w:autoRedefine/>
    <w:uiPriority w:val="39"/>
    <w:rsid w:val="0044497B"/>
    <w:pPr>
      <w:tabs>
        <w:tab w:val="left" w:pos="1200"/>
        <w:tab w:val="right" w:leader="dot" w:pos="9350"/>
      </w:tabs>
      <w:spacing w:after="120"/>
      <w:ind w:left="475" w:firstLine="518"/>
      <w:contextualSpacing/>
    </w:pPr>
  </w:style>
  <w:style w:type="paragraph" w:styleId="TOC4">
    <w:name w:val="toc 4"/>
    <w:basedOn w:val="Normal"/>
    <w:next w:val="Normal"/>
    <w:autoRedefine/>
    <w:semiHidden/>
    <w:rsid w:val="00173771"/>
    <w:pPr>
      <w:ind w:left="720"/>
    </w:pPr>
  </w:style>
  <w:style w:type="paragraph" w:styleId="TOC5">
    <w:name w:val="toc 5"/>
    <w:basedOn w:val="Normal"/>
    <w:next w:val="Normal"/>
    <w:autoRedefine/>
    <w:semiHidden/>
    <w:rsid w:val="00173771"/>
    <w:pPr>
      <w:ind w:left="960"/>
    </w:pPr>
  </w:style>
  <w:style w:type="paragraph" w:styleId="TOC6">
    <w:name w:val="toc 6"/>
    <w:basedOn w:val="Normal"/>
    <w:next w:val="Normal"/>
    <w:autoRedefine/>
    <w:semiHidden/>
    <w:rsid w:val="00173771"/>
    <w:pPr>
      <w:ind w:left="1200"/>
    </w:pPr>
  </w:style>
  <w:style w:type="paragraph" w:styleId="TOC7">
    <w:name w:val="toc 7"/>
    <w:basedOn w:val="Normal"/>
    <w:next w:val="Normal"/>
    <w:autoRedefine/>
    <w:semiHidden/>
    <w:rsid w:val="00173771"/>
    <w:pPr>
      <w:ind w:left="1440"/>
    </w:pPr>
  </w:style>
  <w:style w:type="paragraph" w:styleId="TOC8">
    <w:name w:val="toc 8"/>
    <w:basedOn w:val="Normal"/>
    <w:next w:val="Normal"/>
    <w:autoRedefine/>
    <w:semiHidden/>
    <w:rsid w:val="00173771"/>
    <w:pPr>
      <w:ind w:left="1680"/>
    </w:pPr>
  </w:style>
  <w:style w:type="paragraph" w:styleId="TOC9">
    <w:name w:val="toc 9"/>
    <w:basedOn w:val="Normal"/>
    <w:next w:val="Normal"/>
    <w:autoRedefine/>
    <w:semiHidden/>
    <w:rsid w:val="00173771"/>
    <w:pPr>
      <w:ind w:left="1920"/>
    </w:pPr>
  </w:style>
  <w:style w:type="character" w:styleId="Hyperlink">
    <w:name w:val="Hyperlink"/>
    <w:basedOn w:val="DefaultParagraphFont"/>
    <w:uiPriority w:val="99"/>
    <w:rsid w:val="001A1005"/>
    <w:rPr>
      <w:rFonts w:ascii="Calibri Light" w:hAnsi="Calibri Light"/>
      <w:color w:val="306786" w:themeColor="accent3"/>
      <w:sz w:val="20"/>
      <w:u w:val="single"/>
    </w:rPr>
  </w:style>
  <w:style w:type="paragraph" w:styleId="BodyTextIndent">
    <w:name w:val="Body Text Indent"/>
    <w:basedOn w:val="Normal"/>
    <w:semiHidden/>
    <w:rsid w:val="00173771"/>
    <w:pPr>
      <w:spacing w:before="240"/>
      <w:ind w:left="360"/>
    </w:pPr>
  </w:style>
  <w:style w:type="paragraph" w:styleId="TableofFigures">
    <w:name w:val="table of figures"/>
    <w:basedOn w:val="Normal"/>
    <w:next w:val="Normal"/>
    <w:autoRedefine/>
    <w:uiPriority w:val="99"/>
    <w:rsid w:val="005B5DD6"/>
    <w:pPr>
      <w:spacing w:after="120"/>
      <w:contextualSpacing/>
    </w:pPr>
  </w:style>
  <w:style w:type="character" w:styleId="CommentReference">
    <w:name w:val="annotation reference"/>
    <w:basedOn w:val="DefaultParagraphFont"/>
    <w:semiHidden/>
    <w:rsid w:val="00173771"/>
    <w:rPr>
      <w:sz w:val="16"/>
      <w:szCs w:val="16"/>
    </w:rPr>
  </w:style>
  <w:style w:type="paragraph" w:styleId="CommentText">
    <w:name w:val="annotation text"/>
    <w:basedOn w:val="Normal"/>
    <w:link w:val="CommentTextChar"/>
    <w:semiHidden/>
    <w:rsid w:val="00173771"/>
  </w:style>
  <w:style w:type="paragraph" w:styleId="BodyText">
    <w:name w:val="Body Text"/>
    <w:basedOn w:val="Normal"/>
    <w:semiHidden/>
    <w:rsid w:val="00173771"/>
    <w:pPr>
      <w:jc w:val="center"/>
    </w:pPr>
    <w:rPr>
      <w:b/>
      <w:bCs/>
      <w:i/>
      <w:iCs/>
    </w:rPr>
  </w:style>
  <w:style w:type="paragraph" w:styleId="BodyText2">
    <w:name w:val="Body Text 2"/>
    <w:basedOn w:val="Normal"/>
    <w:semiHidden/>
    <w:rsid w:val="00173771"/>
    <w:pPr>
      <w:autoSpaceDE w:val="0"/>
      <w:autoSpaceDN w:val="0"/>
      <w:adjustRightInd w:val="0"/>
    </w:pPr>
  </w:style>
  <w:style w:type="paragraph" w:styleId="BalloonText">
    <w:name w:val="Balloon Text"/>
    <w:basedOn w:val="Normal"/>
    <w:link w:val="BalloonTextChar"/>
    <w:uiPriority w:val="99"/>
    <w:semiHidden/>
    <w:unhideWhenUsed/>
    <w:rsid w:val="000F7DAF"/>
    <w:rPr>
      <w:rFonts w:ascii="Tahoma" w:hAnsi="Tahoma" w:cs="Tahoma"/>
      <w:sz w:val="16"/>
      <w:szCs w:val="16"/>
    </w:rPr>
  </w:style>
  <w:style w:type="character" w:customStyle="1" w:styleId="BalloonTextChar">
    <w:name w:val="Balloon Text Char"/>
    <w:basedOn w:val="DefaultParagraphFont"/>
    <w:link w:val="BalloonText"/>
    <w:uiPriority w:val="99"/>
    <w:semiHidden/>
    <w:rsid w:val="000F7DAF"/>
    <w:rPr>
      <w:rFonts w:ascii="Tahoma" w:hAnsi="Tahoma" w:cs="Tahoma"/>
      <w:sz w:val="16"/>
      <w:szCs w:val="16"/>
    </w:rPr>
  </w:style>
  <w:style w:type="character" w:customStyle="1" w:styleId="FooterChar">
    <w:name w:val="Footer Char"/>
    <w:basedOn w:val="DefaultParagraphFont"/>
    <w:link w:val="Footer"/>
    <w:uiPriority w:val="99"/>
    <w:rsid w:val="00497A1F"/>
    <w:rPr>
      <w:rFonts w:ascii="Garamond" w:hAnsi="Garamond" w:cs="Arial"/>
      <w:sz w:val="22"/>
      <w:szCs w:val="24"/>
    </w:rPr>
  </w:style>
  <w:style w:type="paragraph" w:styleId="CommentSubject">
    <w:name w:val="annotation subject"/>
    <w:basedOn w:val="CommentText"/>
    <w:next w:val="CommentText"/>
    <w:link w:val="CommentSubjectChar"/>
    <w:uiPriority w:val="99"/>
    <w:semiHidden/>
    <w:unhideWhenUsed/>
    <w:rsid w:val="00F6005C"/>
    <w:rPr>
      <w:b/>
      <w:bCs/>
    </w:rPr>
  </w:style>
  <w:style w:type="character" w:customStyle="1" w:styleId="CommentTextChar">
    <w:name w:val="Comment Text Char"/>
    <w:basedOn w:val="DefaultParagraphFont"/>
    <w:link w:val="CommentText"/>
    <w:semiHidden/>
    <w:rsid w:val="00F6005C"/>
    <w:rPr>
      <w:rFonts w:ascii="Garamond" w:hAnsi="Garamond" w:cs="Arial"/>
    </w:rPr>
  </w:style>
  <w:style w:type="character" w:customStyle="1" w:styleId="CommentSubjectChar">
    <w:name w:val="Comment Subject Char"/>
    <w:basedOn w:val="CommentTextChar"/>
    <w:link w:val="CommentSubject"/>
    <w:rsid w:val="00F6005C"/>
    <w:rPr>
      <w:rFonts w:ascii="Garamond" w:hAnsi="Garamond" w:cs="Arial"/>
    </w:rPr>
  </w:style>
  <w:style w:type="paragraph" w:customStyle="1" w:styleId="BodyText-NoSpace">
    <w:name w:val="BodyText-NoSpace"/>
    <w:basedOn w:val="Normal"/>
    <w:link w:val="BodyText-NoSpaceChar"/>
    <w:semiHidden/>
    <w:rsid w:val="00374331"/>
    <w:rPr>
      <w:rFonts w:ascii="Calibri" w:hAnsi="Calibri" w:cs="Times New Roman"/>
      <w:sz w:val="24"/>
      <w:lang w:bidi="en-US"/>
    </w:rPr>
  </w:style>
  <w:style w:type="character" w:customStyle="1" w:styleId="BodyText-NoSpaceChar">
    <w:name w:val="BodyText-NoSpace Char"/>
    <w:basedOn w:val="DefaultParagraphFont"/>
    <w:link w:val="BodyText-NoSpace"/>
    <w:semiHidden/>
    <w:rsid w:val="00497A1F"/>
    <w:rPr>
      <w:rFonts w:ascii="Calibri" w:hAnsi="Calibri"/>
      <w:sz w:val="24"/>
      <w:szCs w:val="24"/>
      <w:lang w:bidi="en-US"/>
    </w:rPr>
  </w:style>
  <w:style w:type="paragraph" w:styleId="Subtitle">
    <w:name w:val="Subtitle"/>
    <w:basedOn w:val="Normal"/>
    <w:next w:val="Normal"/>
    <w:link w:val="SubtitleChar"/>
    <w:autoRedefine/>
    <w:uiPriority w:val="2"/>
    <w:rsid w:val="00B42248"/>
    <w:pPr>
      <w:spacing w:before="120"/>
      <w:contextualSpacing/>
    </w:pPr>
    <w:rPr>
      <w:rFonts w:asciiTheme="majorHAnsi" w:eastAsiaTheme="majorEastAsia" w:hAnsiTheme="majorHAnsi" w:cstheme="majorBidi"/>
      <w:b/>
      <w:iCs/>
      <w:caps/>
      <w:color w:val="27406D" w:themeColor="accent1"/>
      <w:sz w:val="32"/>
      <w:szCs w:val="28"/>
    </w:rPr>
  </w:style>
  <w:style w:type="character" w:customStyle="1" w:styleId="SubtitleChar">
    <w:name w:val="Subtitle Char"/>
    <w:basedOn w:val="DefaultParagraphFont"/>
    <w:link w:val="Subtitle"/>
    <w:uiPriority w:val="2"/>
    <w:rsid w:val="00B42248"/>
    <w:rPr>
      <w:rFonts w:asciiTheme="majorHAnsi" w:eastAsiaTheme="majorEastAsia" w:hAnsiTheme="majorHAnsi" w:cstheme="majorBidi"/>
      <w:b/>
      <w:iCs/>
      <w:caps/>
      <w:color w:val="27406D" w:themeColor="accent1"/>
      <w:sz w:val="32"/>
      <w:szCs w:val="28"/>
    </w:rPr>
  </w:style>
  <w:style w:type="character" w:styleId="SubtleEmphasis">
    <w:name w:val="Subtle Emphasis"/>
    <w:basedOn w:val="DefaultParagraphFont"/>
    <w:uiPriority w:val="19"/>
    <w:semiHidden/>
    <w:rsid w:val="008907DC"/>
    <w:rPr>
      <w:rFonts w:ascii="Garamond" w:hAnsi="Garamond"/>
      <w:i/>
      <w:iCs/>
      <w:color w:val="5E5E5E" w:themeColor="text2"/>
    </w:rPr>
  </w:style>
  <w:style w:type="paragraph" w:styleId="ListParagraph">
    <w:name w:val="List Paragraph"/>
    <w:basedOn w:val="Normal"/>
    <w:uiPriority w:val="34"/>
    <w:qFormat/>
    <w:rsid w:val="00B83C28"/>
    <w:pPr>
      <w:ind w:left="720"/>
      <w:contextualSpacing/>
    </w:pPr>
    <w:rPr>
      <w:i/>
    </w:rPr>
  </w:style>
  <w:style w:type="paragraph" w:styleId="Quote">
    <w:name w:val="Quote"/>
    <w:basedOn w:val="Normal"/>
    <w:next w:val="Normal"/>
    <w:link w:val="QuoteChar"/>
    <w:uiPriority w:val="29"/>
    <w:semiHidden/>
    <w:qFormat/>
    <w:rsid w:val="00B83C28"/>
    <w:pPr>
      <w:ind w:left="720"/>
    </w:pPr>
    <w:rPr>
      <w:i/>
      <w:iCs/>
      <w:color w:val="000000" w:themeColor="text1"/>
    </w:rPr>
  </w:style>
  <w:style w:type="character" w:customStyle="1" w:styleId="QuoteChar">
    <w:name w:val="Quote Char"/>
    <w:basedOn w:val="DefaultParagraphFont"/>
    <w:link w:val="Quote"/>
    <w:uiPriority w:val="29"/>
    <w:semiHidden/>
    <w:rsid w:val="00B83C28"/>
    <w:rPr>
      <w:i/>
      <w:iCs/>
      <w:color w:val="000000" w:themeColor="text1"/>
      <w:sz w:val="22"/>
    </w:rPr>
  </w:style>
  <w:style w:type="character" w:customStyle="1" w:styleId="CrossReferencedText">
    <w:name w:val="Cross Referenced Text"/>
    <w:basedOn w:val="DefaultParagraphFont"/>
    <w:uiPriority w:val="3"/>
    <w:qFormat/>
    <w:rsid w:val="00B83C28"/>
    <w:rPr>
      <w:rFonts w:ascii="Calibri Light" w:hAnsi="Calibri Light"/>
      <w:b/>
      <w:color w:val="599040"/>
      <w:sz w:val="20"/>
      <w:szCs w:val="22"/>
    </w:rPr>
  </w:style>
  <w:style w:type="character" w:customStyle="1" w:styleId="Heading1Char">
    <w:name w:val="Heading 1 Char"/>
    <w:basedOn w:val="DefaultParagraphFont"/>
    <w:link w:val="Heading1"/>
    <w:uiPriority w:val="1"/>
    <w:rsid w:val="00B83C28"/>
    <w:rPr>
      <w:rFonts w:ascii="Century Gothic" w:hAnsi="Century Gothic"/>
      <w:b/>
      <w:bCs/>
      <w:caps/>
      <w:color w:val="27406D"/>
      <w:kern w:val="32"/>
      <w:sz w:val="32"/>
      <w:szCs w:val="32"/>
    </w:rPr>
  </w:style>
  <w:style w:type="paragraph" w:styleId="TOCHeading">
    <w:name w:val="TOC Heading"/>
    <w:basedOn w:val="Heading1"/>
    <w:next w:val="Normal"/>
    <w:uiPriority w:val="39"/>
    <w:semiHidden/>
    <w:unhideWhenUsed/>
    <w:qFormat/>
    <w:rsid w:val="00B83C28"/>
    <w:pPr>
      <w:keepLines/>
      <w:numPr>
        <w:numId w:val="0"/>
      </w:numPr>
      <w:spacing w:before="480" w:after="0" w:line="276" w:lineRule="auto"/>
      <w:outlineLvl w:val="9"/>
    </w:pPr>
    <w:rPr>
      <w:rFonts w:asciiTheme="majorHAnsi" w:eastAsiaTheme="majorEastAsia" w:hAnsiTheme="majorHAnsi" w:cstheme="majorBidi"/>
      <w:b w:val="0"/>
      <w:color w:val="1D2F51" w:themeColor="accent1" w:themeShade="BF"/>
      <w:kern w:val="0"/>
      <w:sz w:val="28"/>
      <w:szCs w:val="28"/>
    </w:rPr>
  </w:style>
  <w:style w:type="character" w:styleId="PlaceholderText">
    <w:name w:val="Placeholder Text"/>
    <w:basedOn w:val="DefaultParagraphFont"/>
    <w:uiPriority w:val="99"/>
    <w:semiHidden/>
    <w:rsid w:val="00721E2E"/>
    <w:rPr>
      <w:color w:val="808080"/>
    </w:rPr>
  </w:style>
  <w:style w:type="paragraph" w:styleId="ListBullet">
    <w:name w:val="List Bullet"/>
    <w:basedOn w:val="Normal"/>
    <w:autoRedefine/>
    <w:qFormat/>
    <w:rsid w:val="00B83C28"/>
    <w:pPr>
      <w:numPr>
        <w:numId w:val="18"/>
      </w:numPr>
      <w:spacing w:before="120"/>
      <w:contextualSpacing/>
    </w:pPr>
  </w:style>
  <w:style w:type="paragraph" w:styleId="ListBullet2">
    <w:name w:val="List Bullet 2"/>
    <w:basedOn w:val="Normal"/>
    <w:autoRedefine/>
    <w:uiPriority w:val="2"/>
    <w:qFormat/>
    <w:rsid w:val="00B83C28"/>
    <w:pPr>
      <w:numPr>
        <w:numId w:val="19"/>
      </w:numPr>
      <w:contextualSpacing/>
    </w:pPr>
  </w:style>
  <w:style w:type="paragraph" w:styleId="ListBullet3">
    <w:name w:val="List Bullet 3"/>
    <w:basedOn w:val="ListBullet2"/>
    <w:autoRedefine/>
    <w:uiPriority w:val="2"/>
    <w:qFormat/>
    <w:rsid w:val="00B83C28"/>
    <w:pPr>
      <w:numPr>
        <w:numId w:val="20"/>
      </w:numPr>
    </w:pPr>
  </w:style>
  <w:style w:type="paragraph" w:styleId="Title">
    <w:name w:val="Title"/>
    <w:basedOn w:val="Normal"/>
    <w:next w:val="Normal"/>
    <w:link w:val="TitleChar"/>
    <w:autoRedefine/>
    <w:uiPriority w:val="2"/>
    <w:rsid w:val="00B42248"/>
    <w:pPr>
      <w:contextualSpacing/>
    </w:pPr>
    <w:rPr>
      <w:rFonts w:asciiTheme="majorHAnsi" w:eastAsiaTheme="majorEastAsia" w:hAnsiTheme="majorHAnsi" w:cstheme="majorBidi"/>
      <w:b/>
      <w:bCs/>
      <w:caps/>
      <w:color w:val="27406D" w:themeColor="accent1"/>
      <w:spacing w:val="-10"/>
      <w:kern w:val="28"/>
      <w:sz w:val="64"/>
      <w:szCs w:val="56"/>
    </w:rPr>
  </w:style>
  <w:style w:type="character" w:customStyle="1" w:styleId="TitleChar">
    <w:name w:val="Title Char"/>
    <w:basedOn w:val="DefaultParagraphFont"/>
    <w:link w:val="Title"/>
    <w:uiPriority w:val="2"/>
    <w:rsid w:val="00B42248"/>
    <w:rPr>
      <w:rFonts w:asciiTheme="majorHAnsi" w:eastAsiaTheme="majorEastAsia" w:hAnsiTheme="majorHAnsi" w:cstheme="majorBidi"/>
      <w:b/>
      <w:bCs/>
      <w:caps/>
      <w:color w:val="27406D" w:themeColor="accent1"/>
      <w:spacing w:val="-10"/>
      <w:kern w:val="28"/>
      <w:sz w:val="64"/>
      <w:szCs w:val="56"/>
    </w:rPr>
  </w:style>
  <w:style w:type="paragraph" w:styleId="IntenseQuote">
    <w:name w:val="Intense Quote"/>
    <w:basedOn w:val="Normal"/>
    <w:next w:val="Normal"/>
    <w:link w:val="IntenseQuoteChar"/>
    <w:autoRedefine/>
    <w:uiPriority w:val="30"/>
    <w:rsid w:val="001A1005"/>
    <w:pPr>
      <w:pBdr>
        <w:top w:val="single" w:sz="4" w:space="10" w:color="599040" w:themeColor="accent2"/>
        <w:bottom w:val="single" w:sz="4" w:space="10" w:color="599040" w:themeColor="accent2"/>
      </w:pBdr>
      <w:spacing w:before="360" w:after="360"/>
      <w:ind w:right="864"/>
    </w:pPr>
    <w:rPr>
      <w:rFonts w:ascii="Calibri Light" w:hAnsi="Calibri Light"/>
      <w:iCs/>
      <w:color w:val="599040" w:themeColor="accent2"/>
      <w:sz w:val="28"/>
    </w:rPr>
  </w:style>
  <w:style w:type="character" w:customStyle="1" w:styleId="IntenseQuoteChar">
    <w:name w:val="Intense Quote Char"/>
    <w:basedOn w:val="DefaultParagraphFont"/>
    <w:link w:val="IntenseQuote"/>
    <w:uiPriority w:val="30"/>
    <w:rsid w:val="001A1005"/>
    <w:rPr>
      <w:rFonts w:ascii="Calibri Light" w:hAnsi="Calibri Light" w:cs="Arial"/>
      <w:iCs/>
      <w:color w:val="599040" w:themeColor="accent2"/>
      <w:sz w:val="28"/>
      <w:szCs w:val="24"/>
    </w:rPr>
  </w:style>
  <w:style w:type="table" w:customStyle="1" w:styleId="Style1">
    <w:name w:val="Style1"/>
    <w:basedOn w:val="TableNormal"/>
    <w:uiPriority w:val="99"/>
    <w:rsid w:val="00DE7F94"/>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rPr>
        <w:rFonts w:ascii="Century Gothic" w:hAnsi="Century Gothic"/>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27406D" w:themeFill="accent1"/>
      </w:tcPr>
    </w:tblStylePr>
    <w:tblStylePr w:type="lastRow">
      <w:rPr>
        <w:b/>
        <w:color w:val="000000" w:themeColor="text1"/>
      </w:rPr>
      <w:tblPr/>
      <w:tcPr>
        <w:shd w:val="clear" w:color="auto" w:fill="DDDDDD" w:themeFill="background2"/>
      </w:tcPr>
    </w:tblStylePr>
    <w:tblStylePr w:type="band1Horz">
      <w:tblPr/>
      <w:tcPr>
        <w:shd w:val="clear" w:color="auto" w:fill="DCECD5" w:themeFill="accent2" w:themeFillTint="33"/>
      </w:tcPr>
    </w:tblStylePr>
  </w:style>
  <w:style w:type="character" w:styleId="UnresolvedMention">
    <w:name w:val="Unresolved Mention"/>
    <w:basedOn w:val="DefaultParagraphFont"/>
    <w:uiPriority w:val="99"/>
    <w:semiHidden/>
    <w:unhideWhenUsed/>
    <w:rsid w:val="00C83D56"/>
    <w:rPr>
      <w:color w:val="605E5C"/>
      <w:shd w:val="clear" w:color="auto" w:fill="E1DFDD"/>
    </w:rPr>
  </w:style>
  <w:style w:type="character" w:customStyle="1" w:styleId="HeaderChar">
    <w:name w:val="Header Char"/>
    <w:basedOn w:val="DefaultParagraphFont"/>
    <w:link w:val="Header"/>
    <w:uiPriority w:val="1"/>
    <w:semiHidden/>
    <w:rsid w:val="00B83C28"/>
    <w:rPr>
      <w:rFonts w:cs="Calibri Light"/>
      <w:iCs/>
      <w:color w:val="5E5E5E" w:themeColor="text2"/>
      <w:sz w:val="16"/>
      <w:szCs w:val="16"/>
    </w:rPr>
  </w:style>
  <w:style w:type="paragraph" w:customStyle="1" w:styleId="ES-Heading1">
    <w:name w:val="ES-Heading 1"/>
    <w:basedOn w:val="Heading1"/>
    <w:link w:val="ES-Heading1Char"/>
    <w:qFormat/>
    <w:rsid w:val="00B83C28"/>
    <w:pPr>
      <w:numPr>
        <w:numId w:val="0"/>
      </w:numPr>
    </w:pPr>
  </w:style>
  <w:style w:type="character" w:customStyle="1" w:styleId="ES-Heading1Char">
    <w:name w:val="ES-Heading 1 Char"/>
    <w:basedOn w:val="Heading1Char"/>
    <w:link w:val="ES-Heading1"/>
    <w:rsid w:val="00B83C28"/>
    <w:rPr>
      <w:rFonts w:ascii="Century Gothic" w:hAnsi="Century Gothic"/>
      <w:b/>
      <w:bCs/>
      <w:caps/>
      <w:color w:val="27406D"/>
      <w:kern w:val="32"/>
      <w:sz w:val="32"/>
      <w:szCs w:val="32"/>
    </w:rPr>
  </w:style>
  <w:style w:type="character" w:customStyle="1" w:styleId="Heading2Char">
    <w:name w:val="Heading 2 Char"/>
    <w:basedOn w:val="DefaultParagraphFont"/>
    <w:link w:val="Heading2"/>
    <w:uiPriority w:val="1"/>
    <w:rsid w:val="00B83C28"/>
    <w:rPr>
      <w:rFonts w:ascii="Century Gothic" w:hAnsi="Century Gothic"/>
      <w:b/>
      <w:bCs/>
      <w:iCs/>
      <w:caps/>
      <w:color w:val="306786" w:themeColor="accent3"/>
      <w:sz w:val="26"/>
      <w:szCs w:val="28"/>
    </w:rPr>
  </w:style>
  <w:style w:type="character" w:customStyle="1" w:styleId="Heading3Char">
    <w:name w:val="Heading 3 Char"/>
    <w:basedOn w:val="DefaultParagraphFont"/>
    <w:link w:val="Heading3"/>
    <w:uiPriority w:val="1"/>
    <w:rsid w:val="00B83C28"/>
    <w:rPr>
      <w:rFonts w:ascii="Century Gothic" w:hAnsi="Century Gothic"/>
      <w:b/>
      <w:bCs/>
      <w:caps/>
      <w:color w:val="F6823C" w:themeColor="accent4"/>
      <w:sz w:val="22"/>
      <w:szCs w:val="26"/>
    </w:rPr>
  </w:style>
  <w:style w:type="character" w:styleId="Strong">
    <w:name w:val="Strong"/>
    <w:basedOn w:val="DefaultParagraphFont"/>
    <w:uiPriority w:val="22"/>
    <w:qFormat/>
    <w:rsid w:val="00B83C28"/>
    <w:rPr>
      <w:b/>
      <w:bCs/>
    </w:rPr>
  </w:style>
  <w:style w:type="paragraph" w:customStyle="1" w:styleId="ES-Heading2">
    <w:name w:val="ES-Heading 2"/>
    <w:basedOn w:val="Heading2"/>
    <w:link w:val="ES-Heading2Char"/>
    <w:qFormat/>
    <w:rsid w:val="00B83C28"/>
    <w:pPr>
      <w:numPr>
        <w:ilvl w:val="0"/>
        <w:numId w:val="0"/>
      </w:numPr>
    </w:pPr>
  </w:style>
  <w:style w:type="character" w:customStyle="1" w:styleId="ES-Heading2Char">
    <w:name w:val="ES-Heading 2 Char"/>
    <w:basedOn w:val="Heading2Char"/>
    <w:link w:val="ES-Heading2"/>
    <w:rsid w:val="00B83C28"/>
    <w:rPr>
      <w:rFonts w:ascii="Century Gothic" w:hAnsi="Century Gothic"/>
      <w:b/>
      <w:bCs/>
      <w:iCs/>
      <w:caps/>
      <w:color w:val="306786" w:themeColor="accent3"/>
      <w:sz w:val="26"/>
      <w:szCs w:val="28"/>
    </w:rPr>
  </w:style>
  <w:style w:type="paragraph" w:customStyle="1" w:styleId="BodyText0">
    <w:name w:val="BodyText"/>
    <w:basedOn w:val="Normal"/>
    <w:link w:val="BodyTextChar"/>
    <w:rsid w:val="00F27463"/>
    <w:pPr>
      <w:spacing w:before="240"/>
      <w:jc w:val="both"/>
    </w:pPr>
    <w:rPr>
      <w:rFonts w:ascii="Calibri Light" w:hAnsi="Calibri Light" w:cs="Calibri Light"/>
      <w:lang w:bidi="en-US"/>
    </w:rPr>
  </w:style>
  <w:style w:type="character" w:customStyle="1" w:styleId="BodyTextChar">
    <w:name w:val="BodyText Char"/>
    <w:basedOn w:val="DefaultParagraphFont"/>
    <w:link w:val="BodyText0"/>
    <w:rsid w:val="00F27463"/>
    <w:rPr>
      <w:rFonts w:ascii="Calibri Light" w:hAnsi="Calibri Light" w:cs="Calibri Light"/>
      <w:sz w:val="22"/>
      <w:lang w:bidi="en-US"/>
    </w:rPr>
  </w:style>
  <w:style w:type="paragraph" w:customStyle="1" w:styleId="TitlePage-2">
    <w:name w:val="TitlePage-2"/>
    <w:basedOn w:val="Normal"/>
    <w:link w:val="TitlePage-2Char"/>
    <w:rsid w:val="00F27463"/>
    <w:pPr>
      <w:jc w:val="right"/>
    </w:pPr>
    <w:rPr>
      <w:rFonts w:ascii="Calibri Light" w:hAnsi="Calibri Light" w:cs="Calibri Light"/>
      <w:b/>
      <w:sz w:val="28"/>
      <w:lang w:bidi="en-US"/>
    </w:rPr>
  </w:style>
  <w:style w:type="character" w:customStyle="1" w:styleId="TitlePage-2Char">
    <w:name w:val="TitlePage-2 Char"/>
    <w:basedOn w:val="DefaultParagraphFont"/>
    <w:link w:val="TitlePage-2"/>
    <w:rsid w:val="00F27463"/>
    <w:rPr>
      <w:rFonts w:ascii="Calibri Light" w:hAnsi="Calibri Light" w:cs="Calibri Light"/>
      <w:b/>
      <w:sz w:val="28"/>
      <w:lang w:bidi="en-US"/>
    </w:rPr>
  </w:style>
  <w:style w:type="paragraph" w:styleId="Revision">
    <w:name w:val="Revision"/>
    <w:hidden/>
    <w:uiPriority w:val="99"/>
    <w:semiHidden/>
    <w:rsid w:val="00B437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P&amp;P%20Reports\Multi-Section%20Report%20w%20ES%20-%20Color%202023.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s-partner-integrations.egnyte.com/msoffice/wopi/files/9f64c50a-bc64-4d5b-b40e-6fa30138c8ad/WOPIServiceId_TP_EGNYTE_PLUS/WOPIUserId_-/Budget%20for%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Water Source</a:t>
            </a:r>
            <a:r>
              <a:rPr lang="en-US" baseline="0"/>
              <a:t> vs. Water Year Type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Figure1!$A$2</c:f>
              <c:strCache>
                <c:ptCount val="1"/>
                <c:pt idx="0">
                  <c:v>Surface Water</c:v>
                </c:pt>
              </c:strCache>
            </c:strRef>
          </c:tx>
          <c:spPr>
            <a:solidFill>
              <a:schemeClr val="accent1"/>
            </a:solidFill>
            <a:ln>
              <a:noFill/>
            </a:ln>
            <a:effectLst/>
          </c:spPr>
          <c:invertIfNegative val="0"/>
          <c:cat>
            <c:strRef>
              <c:f>Figure1!$B$1:$C$1</c:f>
              <c:strCache>
                <c:ptCount val="2"/>
                <c:pt idx="0">
                  <c:v>Normal</c:v>
                </c:pt>
                <c:pt idx="1">
                  <c:v>Dry</c:v>
                </c:pt>
              </c:strCache>
            </c:strRef>
          </c:cat>
          <c:val>
            <c:numRef>
              <c:f>Figure1!$B$2:$C$2</c:f>
              <c:numCache>
                <c:formatCode>#,##0_);\(#,##0\)</c:formatCode>
                <c:ptCount val="2"/>
                <c:pt idx="0">
                  <c:v>25000</c:v>
                </c:pt>
                <c:pt idx="1">
                  <c:v>15700</c:v>
                </c:pt>
              </c:numCache>
            </c:numRef>
          </c:val>
          <c:extLst>
            <c:ext xmlns:c16="http://schemas.microsoft.com/office/drawing/2014/chart" uri="{C3380CC4-5D6E-409C-BE32-E72D297353CC}">
              <c16:uniqueId val="{00000000-1BEC-4221-AC64-B8D0ADA5977E}"/>
            </c:ext>
          </c:extLst>
        </c:ser>
        <c:ser>
          <c:idx val="1"/>
          <c:order val="1"/>
          <c:tx>
            <c:strRef>
              <c:f>Figure1!$A$3</c:f>
              <c:strCache>
                <c:ptCount val="1"/>
                <c:pt idx="0">
                  <c:v>Groundwater</c:v>
                </c:pt>
              </c:strCache>
            </c:strRef>
          </c:tx>
          <c:spPr>
            <a:solidFill>
              <a:schemeClr val="accent2"/>
            </a:solidFill>
            <a:ln>
              <a:noFill/>
            </a:ln>
            <a:effectLst/>
          </c:spPr>
          <c:invertIfNegative val="0"/>
          <c:cat>
            <c:strRef>
              <c:f>Figure1!$B$1:$C$1</c:f>
              <c:strCache>
                <c:ptCount val="2"/>
                <c:pt idx="0">
                  <c:v>Normal</c:v>
                </c:pt>
                <c:pt idx="1">
                  <c:v>Dry</c:v>
                </c:pt>
              </c:strCache>
            </c:strRef>
          </c:cat>
          <c:val>
            <c:numRef>
              <c:f>Figure1!$B$3:$C$3</c:f>
              <c:numCache>
                <c:formatCode>#,##0_);\(#,##0\)</c:formatCode>
                <c:ptCount val="2"/>
                <c:pt idx="0">
                  <c:v>0</c:v>
                </c:pt>
                <c:pt idx="1">
                  <c:v>8000</c:v>
                </c:pt>
              </c:numCache>
            </c:numRef>
          </c:val>
          <c:extLst>
            <c:ext xmlns:c16="http://schemas.microsoft.com/office/drawing/2014/chart" uri="{C3380CC4-5D6E-409C-BE32-E72D297353CC}">
              <c16:uniqueId val="{00000001-1BEC-4221-AC64-B8D0ADA5977E}"/>
            </c:ext>
          </c:extLst>
        </c:ser>
        <c:ser>
          <c:idx val="3"/>
          <c:order val="2"/>
          <c:tx>
            <c:strRef>
              <c:f>Figure1!$A$4</c:f>
              <c:strCache>
                <c:ptCount val="1"/>
                <c:pt idx="0">
                  <c:v>Other Local Water</c:v>
                </c:pt>
              </c:strCache>
            </c:strRef>
          </c:tx>
          <c:spPr>
            <a:solidFill>
              <a:schemeClr val="accent4"/>
            </a:solidFill>
            <a:ln>
              <a:noFill/>
            </a:ln>
            <a:effectLst/>
          </c:spPr>
          <c:invertIfNegative val="0"/>
          <c:cat>
            <c:strRef>
              <c:f>Figure1!$B$1:$C$1</c:f>
              <c:strCache>
                <c:ptCount val="2"/>
                <c:pt idx="0">
                  <c:v>Normal</c:v>
                </c:pt>
                <c:pt idx="1">
                  <c:v>Dry</c:v>
                </c:pt>
              </c:strCache>
            </c:strRef>
          </c:cat>
          <c:val>
            <c:numRef>
              <c:f>Figure1!$B$4:$C$4</c:f>
              <c:numCache>
                <c:formatCode>#,##0_);\(#,##0\)</c:formatCode>
                <c:ptCount val="2"/>
                <c:pt idx="0">
                  <c:v>0</c:v>
                </c:pt>
                <c:pt idx="1">
                  <c:v>1300</c:v>
                </c:pt>
              </c:numCache>
            </c:numRef>
          </c:val>
          <c:extLst>
            <c:ext xmlns:c16="http://schemas.microsoft.com/office/drawing/2014/chart" uri="{C3380CC4-5D6E-409C-BE32-E72D297353CC}">
              <c16:uniqueId val="{00000002-1BEC-4221-AC64-B8D0ADA5977E}"/>
            </c:ext>
          </c:extLst>
        </c:ser>
        <c:dLbls>
          <c:showLegendKey val="0"/>
          <c:showVal val="0"/>
          <c:showCatName val="0"/>
          <c:showSerName val="0"/>
          <c:showPercent val="0"/>
          <c:showBubbleSize val="0"/>
        </c:dLbls>
        <c:gapWidth val="150"/>
        <c:overlap val="100"/>
        <c:axId val="170131775"/>
        <c:axId val="170128895"/>
      </c:barChart>
      <c:lineChart>
        <c:grouping val="standard"/>
        <c:varyColors val="0"/>
        <c:ser>
          <c:idx val="2"/>
          <c:order val="3"/>
          <c:tx>
            <c:strRef>
              <c:f>Figure1!$A$5</c:f>
              <c:strCache>
                <c:ptCount val="1"/>
                <c:pt idx="0">
                  <c:v>Irrigation Demand</c:v>
                </c:pt>
              </c:strCache>
            </c:strRef>
          </c:tx>
          <c:spPr>
            <a:ln w="28575" cap="rnd">
              <a:solidFill>
                <a:schemeClr val="accent3"/>
              </a:solidFill>
              <a:round/>
            </a:ln>
            <a:effectLst/>
          </c:spPr>
          <c:marker>
            <c:symbol val="none"/>
          </c:marker>
          <c:cat>
            <c:strRef>
              <c:f>Figure1!$B$1:$C$1</c:f>
              <c:strCache>
                <c:ptCount val="2"/>
                <c:pt idx="0">
                  <c:v>Normal</c:v>
                </c:pt>
                <c:pt idx="1">
                  <c:v>Dry</c:v>
                </c:pt>
              </c:strCache>
            </c:strRef>
          </c:cat>
          <c:val>
            <c:numRef>
              <c:f>Figure1!$B$5:$C$5</c:f>
              <c:numCache>
                <c:formatCode>#,##0_);\(#,##0\)</c:formatCode>
                <c:ptCount val="2"/>
                <c:pt idx="0">
                  <c:v>25000</c:v>
                </c:pt>
                <c:pt idx="1">
                  <c:v>25000</c:v>
                </c:pt>
              </c:numCache>
            </c:numRef>
          </c:val>
          <c:smooth val="0"/>
          <c:extLst>
            <c:ext xmlns:c16="http://schemas.microsoft.com/office/drawing/2014/chart" uri="{C3380CC4-5D6E-409C-BE32-E72D297353CC}">
              <c16:uniqueId val="{00000003-1BEC-4221-AC64-B8D0ADA5977E}"/>
            </c:ext>
          </c:extLst>
        </c:ser>
        <c:dLbls>
          <c:showLegendKey val="0"/>
          <c:showVal val="0"/>
          <c:showCatName val="0"/>
          <c:showSerName val="0"/>
          <c:showPercent val="0"/>
          <c:showBubbleSize val="0"/>
        </c:dLbls>
        <c:marker val="1"/>
        <c:smooth val="0"/>
        <c:axId val="1244449935"/>
        <c:axId val="1244448975"/>
      </c:lineChart>
      <c:catAx>
        <c:axId val="170131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28895"/>
        <c:crosses val="autoZero"/>
        <c:auto val="1"/>
        <c:lblAlgn val="ctr"/>
        <c:lblOffset val="100"/>
        <c:noMultiLvlLbl val="0"/>
      </c:catAx>
      <c:valAx>
        <c:axId val="170128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 Delivered, AF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_);\(#,##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31775"/>
        <c:crosses val="autoZero"/>
        <c:crossBetween val="between"/>
      </c:valAx>
      <c:valAx>
        <c:axId val="1244448975"/>
        <c:scaling>
          <c:orientation val="minMax"/>
        </c:scaling>
        <c:delete val="0"/>
        <c:axPos val="r"/>
        <c:numFmt formatCode="#,##0_);\(#,##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4449935"/>
        <c:crosses val="max"/>
        <c:crossBetween val="between"/>
      </c:valAx>
      <c:catAx>
        <c:axId val="1244449935"/>
        <c:scaling>
          <c:orientation val="minMax"/>
        </c:scaling>
        <c:delete val="1"/>
        <c:axPos val="b"/>
        <c:numFmt formatCode="General" sourceLinked="1"/>
        <c:majorTickMark val="out"/>
        <c:minorTickMark val="none"/>
        <c:tickLblPos val="nextTo"/>
        <c:crossAx val="1244448975"/>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District Reserve</a:t>
            </a:r>
            <a:r>
              <a:rPr lang="en-US" baseline="0"/>
              <a:t> Accounts</a:t>
            </a:r>
            <a:endParaRPr lang="en-US"/>
          </a:p>
        </c:rich>
      </c:tx>
      <c:overlay val="0"/>
      <c:spPr>
        <a:noFill/>
        <a:ln w="25400">
          <a:noFill/>
        </a:ln>
      </c:spPr>
    </c:title>
    <c:autoTitleDeleted val="0"/>
    <c:plotArea>
      <c:layout>
        <c:manualLayout>
          <c:layoutTarget val="inner"/>
          <c:xMode val="edge"/>
          <c:yMode val="edge"/>
          <c:x val="0.20886059310860283"/>
          <c:y val="0.13115659252308604"/>
          <c:w val="0.74146320452070991"/>
          <c:h val="0.66070364463875098"/>
        </c:manualLayout>
      </c:layout>
      <c:scatterChart>
        <c:scatterStyle val="lineMarker"/>
        <c:varyColors val="0"/>
        <c:ser>
          <c:idx val="0"/>
          <c:order val="0"/>
          <c:tx>
            <c:strRef>
              <c:f>Figure2!$D$6</c:f>
              <c:strCache>
                <c:ptCount val="1"/>
                <c:pt idx="0">
                  <c:v>Actual</c:v>
                </c:pt>
              </c:strCache>
            </c:strRef>
          </c:tx>
          <c:spPr>
            <a:ln w="19050" cap="rnd">
              <a:solidFill>
                <a:schemeClr val="tx2">
                  <a:lumMod val="60000"/>
                  <a:lumOff val="40000"/>
                </a:schemeClr>
              </a:solidFill>
              <a:round/>
            </a:ln>
            <a:effectLst/>
          </c:spPr>
          <c:marker>
            <c:symbol val="circle"/>
            <c:size val="5"/>
            <c:spPr>
              <a:solidFill>
                <a:schemeClr val="tx2">
                  <a:lumMod val="60000"/>
                  <a:lumOff val="40000"/>
                </a:schemeClr>
              </a:solidFill>
              <a:ln w="9525">
                <a:solidFill>
                  <a:schemeClr val="tx2">
                    <a:lumMod val="60000"/>
                    <a:lumOff val="40000"/>
                  </a:schemeClr>
                </a:solidFill>
              </a:ln>
              <a:effectLst/>
            </c:spPr>
          </c:marker>
          <c:xVal>
            <c:numRef>
              <c:f>Figure2!$C$7:$C$17</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xVal>
          <c:yVal>
            <c:numRef>
              <c:f>Figure2!$D$7:$D$17</c:f>
              <c:numCache>
                <c:formatCode>_("$"* #,##0.00_);_("$"* \(#,##0.00\);_("$"* "-"??_);_(@_)</c:formatCode>
                <c:ptCount val="11"/>
                <c:pt idx="0">
                  <c:v>8073272</c:v>
                </c:pt>
                <c:pt idx="1">
                  <c:v>6754346.2999999998</c:v>
                </c:pt>
                <c:pt idx="2">
                  <c:v>5445896</c:v>
                </c:pt>
                <c:pt idx="3">
                  <c:v>6016755</c:v>
                </c:pt>
                <c:pt idx="4">
                  <c:v>5656322</c:v>
                </c:pt>
                <c:pt idx="5">
                  <c:v>5239325</c:v>
                </c:pt>
                <c:pt idx="6">
                  <c:v>3764801.43</c:v>
                </c:pt>
                <c:pt idx="7">
                  <c:v>3629561.92</c:v>
                </c:pt>
                <c:pt idx="8">
                  <c:v>2921264</c:v>
                </c:pt>
                <c:pt idx="9">
                  <c:v>3664210</c:v>
                </c:pt>
                <c:pt idx="10">
                  <c:v>3568930</c:v>
                </c:pt>
              </c:numCache>
            </c:numRef>
          </c:yVal>
          <c:smooth val="0"/>
          <c:extLst>
            <c:ext xmlns:c16="http://schemas.microsoft.com/office/drawing/2014/chart" uri="{C3380CC4-5D6E-409C-BE32-E72D297353CC}">
              <c16:uniqueId val="{00000000-04A0-4DD6-9561-4C6CEDADBDA5}"/>
            </c:ext>
          </c:extLst>
        </c:ser>
        <c:ser>
          <c:idx val="1"/>
          <c:order val="1"/>
          <c:tx>
            <c:strRef>
              <c:f>Figure2!$D$5</c:f>
              <c:strCache>
                <c:ptCount val="1"/>
                <c:pt idx="0">
                  <c:v>Projected</c:v>
                </c:pt>
              </c:strCache>
            </c:strRef>
          </c:tx>
          <c:spPr>
            <a:ln w="19050" cap="rnd">
              <a:solidFill>
                <a:schemeClr val="tx2">
                  <a:lumMod val="60000"/>
                  <a:lumOff val="40000"/>
                </a:schemeClr>
              </a:solidFill>
              <a:round/>
            </a:ln>
            <a:effectLst/>
          </c:spPr>
          <c:marker>
            <c:symbol val="circle"/>
            <c:size val="5"/>
            <c:spPr>
              <a:solidFill>
                <a:schemeClr val="tx2">
                  <a:lumMod val="60000"/>
                  <a:lumOff val="40000"/>
                </a:schemeClr>
              </a:solidFill>
              <a:ln w="9525">
                <a:solidFill>
                  <a:schemeClr val="tx2">
                    <a:lumMod val="60000"/>
                    <a:lumOff val="40000"/>
                  </a:schemeClr>
                </a:solidFill>
              </a:ln>
              <a:effectLst/>
            </c:spPr>
          </c:marker>
          <c:trendline>
            <c:spPr>
              <a:ln w="19050" cap="rnd">
                <a:solidFill>
                  <a:schemeClr val="accent2"/>
                </a:solidFill>
                <a:prstDash val="sysDot"/>
              </a:ln>
              <a:effectLst/>
            </c:spPr>
            <c:trendlineType val="linear"/>
            <c:forward val="6"/>
            <c:dispRSqr val="0"/>
            <c:dispEq val="0"/>
          </c:trendline>
          <c:xVal>
            <c:numRef>
              <c:f>Figure2!$C$7:$C$17</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xVal>
          <c:yVal>
            <c:numRef>
              <c:f>Figure2!$D$7:$D$17</c:f>
              <c:numCache>
                <c:formatCode>_("$"* #,##0.00_);_("$"* \(#,##0.00\);_("$"* "-"??_);_(@_)</c:formatCode>
                <c:ptCount val="11"/>
                <c:pt idx="0">
                  <c:v>8073272</c:v>
                </c:pt>
                <c:pt idx="1">
                  <c:v>6754346.2999999998</c:v>
                </c:pt>
                <c:pt idx="2">
                  <c:v>5445896</c:v>
                </c:pt>
                <c:pt idx="3">
                  <c:v>6016755</c:v>
                </c:pt>
                <c:pt idx="4">
                  <c:v>5656322</c:v>
                </c:pt>
                <c:pt idx="5">
                  <c:v>5239325</c:v>
                </c:pt>
                <c:pt idx="6">
                  <c:v>3764801.43</c:v>
                </c:pt>
                <c:pt idx="7">
                  <c:v>3629561.92</c:v>
                </c:pt>
                <c:pt idx="8">
                  <c:v>2921264</c:v>
                </c:pt>
                <c:pt idx="9">
                  <c:v>3664210</c:v>
                </c:pt>
                <c:pt idx="10">
                  <c:v>3568930</c:v>
                </c:pt>
              </c:numCache>
            </c:numRef>
          </c:yVal>
          <c:smooth val="0"/>
          <c:extLst>
            <c:ext xmlns:c16="http://schemas.microsoft.com/office/drawing/2014/chart" uri="{C3380CC4-5D6E-409C-BE32-E72D297353CC}">
              <c16:uniqueId val="{00000002-04A0-4DD6-9561-4C6CEDADBDA5}"/>
            </c:ext>
          </c:extLst>
        </c:ser>
        <c:dLbls>
          <c:showLegendKey val="0"/>
          <c:showVal val="0"/>
          <c:showCatName val="0"/>
          <c:showSerName val="0"/>
          <c:showPercent val="0"/>
          <c:showBubbleSize val="0"/>
        </c:dLbls>
        <c:axId val="170166831"/>
        <c:axId val="1"/>
      </c:scatterChart>
      <c:valAx>
        <c:axId val="170166831"/>
        <c:scaling>
          <c:orientation val="minMax"/>
          <c:min val="201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crossBetween val="midCat"/>
        <c:majorUnit val="2"/>
      </c:val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Reserve Balance</a:t>
                </a:r>
              </a:p>
            </c:rich>
          </c:tx>
          <c:overlay val="0"/>
          <c:spPr>
            <a:noFill/>
            <a:ln w="25400">
              <a:noFill/>
            </a:ln>
          </c:spPr>
        </c:title>
        <c:numFmt formatCode="_(&quot;$&quot;* #,##0_);_(&quot;$&quot;* \(#,##0\);_(&quot;$&quot;* &quot;-&quot;_);_(@_)"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66831"/>
        <c:crosses val="autoZero"/>
        <c:crossBetween val="midCat"/>
      </c:valAx>
      <c:spPr>
        <a:noFill/>
        <a:ln w="25400">
          <a:noFill/>
        </a:ln>
      </c:spPr>
    </c:plotArea>
    <c:legend>
      <c:legendPos val="r"/>
      <c:legendEntry>
        <c:idx val="1"/>
        <c:delete val="1"/>
      </c:legendEntry>
      <c:layout>
        <c:manualLayout>
          <c:xMode val="edge"/>
          <c:yMode val="edge"/>
          <c:x val="0.13240228205007309"/>
          <c:y val="0.85342479248917413"/>
          <c:w val="0.83835017628784425"/>
          <c:h val="0.11765117595594665"/>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C784F6EADD480EB0798894471E9948"/>
        <w:category>
          <w:name w:val="General"/>
          <w:gallery w:val="placeholder"/>
        </w:category>
        <w:types>
          <w:type w:val="bbPlcHdr"/>
        </w:types>
        <w:behaviors>
          <w:behavior w:val="content"/>
        </w:behaviors>
        <w:guid w:val="{541D48A0-3AC8-41F8-A9D3-532BD5E57285}"/>
      </w:docPartPr>
      <w:docPartBody>
        <w:p w:rsidR="00457F89" w:rsidRDefault="00457F89">
          <w:pPr>
            <w:pStyle w:val="00C784F6EADD480EB0798894471E9948"/>
          </w:pPr>
          <w:r w:rsidRPr="00417106">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89"/>
    <w:rsid w:val="000A4C18"/>
    <w:rsid w:val="001637B3"/>
    <w:rsid w:val="001E5D11"/>
    <w:rsid w:val="001F0393"/>
    <w:rsid w:val="00234ACA"/>
    <w:rsid w:val="00265FAD"/>
    <w:rsid w:val="002704E3"/>
    <w:rsid w:val="00285093"/>
    <w:rsid w:val="002A4060"/>
    <w:rsid w:val="003E1F2F"/>
    <w:rsid w:val="00457F89"/>
    <w:rsid w:val="004E5508"/>
    <w:rsid w:val="00585430"/>
    <w:rsid w:val="005C4623"/>
    <w:rsid w:val="005C6149"/>
    <w:rsid w:val="007B391A"/>
    <w:rsid w:val="007C2AF2"/>
    <w:rsid w:val="007D5442"/>
    <w:rsid w:val="007D7C3E"/>
    <w:rsid w:val="00847F0F"/>
    <w:rsid w:val="00864313"/>
    <w:rsid w:val="00895BFB"/>
    <w:rsid w:val="009C3636"/>
    <w:rsid w:val="00A56DB2"/>
    <w:rsid w:val="00A75BD0"/>
    <w:rsid w:val="00A766CB"/>
    <w:rsid w:val="00A84B21"/>
    <w:rsid w:val="00A87147"/>
    <w:rsid w:val="00A95A1A"/>
    <w:rsid w:val="00B6489C"/>
    <w:rsid w:val="00D40A30"/>
    <w:rsid w:val="00D53F13"/>
    <w:rsid w:val="00D746D8"/>
    <w:rsid w:val="00DC078C"/>
    <w:rsid w:val="00DE5372"/>
    <w:rsid w:val="00E96609"/>
    <w:rsid w:val="00F16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F13"/>
    <w:rPr>
      <w:color w:val="808080"/>
    </w:rPr>
  </w:style>
  <w:style w:type="paragraph" w:customStyle="1" w:styleId="2C633A19F9F64947AE333FEC7A189B69">
    <w:name w:val="2C633A19F9F64947AE333FEC7A189B69"/>
  </w:style>
  <w:style w:type="paragraph" w:customStyle="1" w:styleId="00C784F6EADD480EB0798894471E9948">
    <w:name w:val="00C784F6EADD480EB0798894471E9948"/>
  </w:style>
  <w:style w:type="paragraph" w:customStyle="1" w:styleId="BE5A5B82489B459C974E49216C64F9F1">
    <w:name w:val="BE5A5B82489B459C974E49216C64F9F1"/>
    <w:rsid w:val="00D53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VOST &amp; PRITCHARD">
      <a:dk1>
        <a:srgbClr val="000000"/>
      </a:dk1>
      <a:lt1>
        <a:sysClr val="window" lastClr="FFFFFF"/>
      </a:lt1>
      <a:dk2>
        <a:srgbClr val="5E5E5E"/>
      </a:dk2>
      <a:lt2>
        <a:srgbClr val="DDDDDD"/>
      </a:lt2>
      <a:accent1>
        <a:srgbClr val="27406D"/>
      </a:accent1>
      <a:accent2>
        <a:srgbClr val="599040"/>
      </a:accent2>
      <a:accent3>
        <a:srgbClr val="306786"/>
      </a:accent3>
      <a:accent4>
        <a:srgbClr val="F6823C"/>
      </a:accent4>
      <a:accent5>
        <a:srgbClr val="838383"/>
      </a:accent5>
      <a:accent6>
        <a:srgbClr val="DDDDDD"/>
      </a:accent6>
      <a:hlink>
        <a:srgbClr val="6EA9CB"/>
      </a:hlink>
      <a:folHlink>
        <a:srgbClr val="C6C6C6"/>
      </a:folHlink>
    </a:clrScheme>
    <a:fontScheme name="Provost &amp; Pritchard">
      <a:majorFont>
        <a:latin typeface="Century Gothic"/>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roperties xmlns="http://www.imanage.com/work/xmlschema">
  <documentid>DMS!3800522.3</documentid>
  <senderid>KHARR</senderid>
  <senderemail>KSBURSEY@BAKERMANOCK.COM</senderemail>
  <lastmodified>2025-10-13T14:47:00.0000000-07:00</lastmodified>
  <database>DMS</database>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E288B-BF3B-484D-BE50-E004867772A8}">
  <ds:schemaRefs>
    <ds:schemaRef ds:uri="http://schemas.openxmlformats.org/officeDocument/2006/bibliography"/>
  </ds:schemaRefs>
</ds:datastoreItem>
</file>

<file path=customXml/itemProps3.xml><?xml version="1.0" encoding="utf-8"?>
<ds:datastoreItem xmlns:ds="http://schemas.openxmlformats.org/officeDocument/2006/customXml" ds:itemID="{3D5ADD40-06E5-44FB-870E-4A5B4A7BB90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Multi-Section Report w ES - Color 2023</Template>
  <TotalTime>163</TotalTime>
  <Pages>8</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Proposition 218</vt:lpstr>
    </vt:vector>
  </TitlesOfParts>
  <Manager>Client Contact</Manager>
  <Company>Tranquillity Irrigation District</Company>
  <LinksUpToDate>false</LinksUpToDate>
  <CharactersWithSpaces>15631</CharactersWithSpaces>
  <SharedDoc>false</SharedDoc>
  <HLinks>
    <vt:vector size="270" baseType="variant">
      <vt:variant>
        <vt:i4>1310769</vt:i4>
      </vt:variant>
      <vt:variant>
        <vt:i4>272</vt:i4>
      </vt:variant>
      <vt:variant>
        <vt:i4>0</vt:i4>
      </vt:variant>
      <vt:variant>
        <vt:i4>5</vt:i4>
      </vt:variant>
      <vt:variant>
        <vt:lpwstr/>
      </vt:variant>
      <vt:variant>
        <vt:lpwstr>_Toc85940705</vt:lpwstr>
      </vt:variant>
      <vt:variant>
        <vt:i4>1376305</vt:i4>
      </vt:variant>
      <vt:variant>
        <vt:i4>266</vt:i4>
      </vt:variant>
      <vt:variant>
        <vt:i4>0</vt:i4>
      </vt:variant>
      <vt:variant>
        <vt:i4>5</vt:i4>
      </vt:variant>
      <vt:variant>
        <vt:lpwstr/>
      </vt:variant>
      <vt:variant>
        <vt:lpwstr>_Toc85940704</vt:lpwstr>
      </vt:variant>
      <vt:variant>
        <vt:i4>1572921</vt:i4>
      </vt:variant>
      <vt:variant>
        <vt:i4>257</vt:i4>
      </vt:variant>
      <vt:variant>
        <vt:i4>0</vt:i4>
      </vt:variant>
      <vt:variant>
        <vt:i4>5</vt:i4>
      </vt:variant>
      <vt:variant>
        <vt:lpwstr/>
      </vt:variant>
      <vt:variant>
        <vt:lpwstr>_Toc85940688</vt:lpwstr>
      </vt:variant>
      <vt:variant>
        <vt:i4>1507385</vt:i4>
      </vt:variant>
      <vt:variant>
        <vt:i4>251</vt:i4>
      </vt:variant>
      <vt:variant>
        <vt:i4>0</vt:i4>
      </vt:variant>
      <vt:variant>
        <vt:i4>5</vt:i4>
      </vt:variant>
      <vt:variant>
        <vt:lpwstr/>
      </vt:variant>
      <vt:variant>
        <vt:lpwstr>_Toc85940687</vt:lpwstr>
      </vt:variant>
      <vt:variant>
        <vt:i4>1441840</vt:i4>
      </vt:variant>
      <vt:variant>
        <vt:i4>242</vt:i4>
      </vt:variant>
      <vt:variant>
        <vt:i4>0</vt:i4>
      </vt:variant>
      <vt:variant>
        <vt:i4>5</vt:i4>
      </vt:variant>
      <vt:variant>
        <vt:lpwstr/>
      </vt:variant>
      <vt:variant>
        <vt:lpwstr>_Toc406079581</vt:lpwstr>
      </vt:variant>
      <vt:variant>
        <vt:i4>1441840</vt:i4>
      </vt:variant>
      <vt:variant>
        <vt:i4>236</vt:i4>
      </vt:variant>
      <vt:variant>
        <vt:i4>0</vt:i4>
      </vt:variant>
      <vt:variant>
        <vt:i4>5</vt:i4>
      </vt:variant>
      <vt:variant>
        <vt:lpwstr/>
      </vt:variant>
      <vt:variant>
        <vt:lpwstr>_Toc406079580</vt:lpwstr>
      </vt:variant>
      <vt:variant>
        <vt:i4>1638448</vt:i4>
      </vt:variant>
      <vt:variant>
        <vt:i4>230</vt:i4>
      </vt:variant>
      <vt:variant>
        <vt:i4>0</vt:i4>
      </vt:variant>
      <vt:variant>
        <vt:i4>5</vt:i4>
      </vt:variant>
      <vt:variant>
        <vt:lpwstr/>
      </vt:variant>
      <vt:variant>
        <vt:lpwstr>_Toc406079579</vt:lpwstr>
      </vt:variant>
      <vt:variant>
        <vt:i4>1638448</vt:i4>
      </vt:variant>
      <vt:variant>
        <vt:i4>224</vt:i4>
      </vt:variant>
      <vt:variant>
        <vt:i4>0</vt:i4>
      </vt:variant>
      <vt:variant>
        <vt:i4>5</vt:i4>
      </vt:variant>
      <vt:variant>
        <vt:lpwstr/>
      </vt:variant>
      <vt:variant>
        <vt:lpwstr>_Toc406079578</vt:lpwstr>
      </vt:variant>
      <vt:variant>
        <vt:i4>1638448</vt:i4>
      </vt:variant>
      <vt:variant>
        <vt:i4>218</vt:i4>
      </vt:variant>
      <vt:variant>
        <vt:i4>0</vt:i4>
      </vt:variant>
      <vt:variant>
        <vt:i4>5</vt:i4>
      </vt:variant>
      <vt:variant>
        <vt:lpwstr/>
      </vt:variant>
      <vt:variant>
        <vt:lpwstr>_Toc406079577</vt:lpwstr>
      </vt:variant>
      <vt:variant>
        <vt:i4>1638448</vt:i4>
      </vt:variant>
      <vt:variant>
        <vt:i4>212</vt:i4>
      </vt:variant>
      <vt:variant>
        <vt:i4>0</vt:i4>
      </vt:variant>
      <vt:variant>
        <vt:i4>5</vt:i4>
      </vt:variant>
      <vt:variant>
        <vt:lpwstr/>
      </vt:variant>
      <vt:variant>
        <vt:lpwstr>_Toc406079576</vt:lpwstr>
      </vt:variant>
      <vt:variant>
        <vt:i4>1638448</vt:i4>
      </vt:variant>
      <vt:variant>
        <vt:i4>206</vt:i4>
      </vt:variant>
      <vt:variant>
        <vt:i4>0</vt:i4>
      </vt:variant>
      <vt:variant>
        <vt:i4>5</vt:i4>
      </vt:variant>
      <vt:variant>
        <vt:lpwstr/>
      </vt:variant>
      <vt:variant>
        <vt:lpwstr>_Toc406079575</vt:lpwstr>
      </vt:variant>
      <vt:variant>
        <vt:i4>1638448</vt:i4>
      </vt:variant>
      <vt:variant>
        <vt:i4>200</vt:i4>
      </vt:variant>
      <vt:variant>
        <vt:i4>0</vt:i4>
      </vt:variant>
      <vt:variant>
        <vt:i4>5</vt:i4>
      </vt:variant>
      <vt:variant>
        <vt:lpwstr/>
      </vt:variant>
      <vt:variant>
        <vt:lpwstr>_Toc406079574</vt:lpwstr>
      </vt:variant>
      <vt:variant>
        <vt:i4>1638448</vt:i4>
      </vt:variant>
      <vt:variant>
        <vt:i4>194</vt:i4>
      </vt:variant>
      <vt:variant>
        <vt:i4>0</vt:i4>
      </vt:variant>
      <vt:variant>
        <vt:i4>5</vt:i4>
      </vt:variant>
      <vt:variant>
        <vt:lpwstr/>
      </vt:variant>
      <vt:variant>
        <vt:lpwstr>_Toc406079573</vt:lpwstr>
      </vt:variant>
      <vt:variant>
        <vt:i4>1638448</vt:i4>
      </vt:variant>
      <vt:variant>
        <vt:i4>188</vt:i4>
      </vt:variant>
      <vt:variant>
        <vt:i4>0</vt:i4>
      </vt:variant>
      <vt:variant>
        <vt:i4>5</vt:i4>
      </vt:variant>
      <vt:variant>
        <vt:lpwstr/>
      </vt:variant>
      <vt:variant>
        <vt:lpwstr>_Toc406079572</vt:lpwstr>
      </vt:variant>
      <vt:variant>
        <vt:i4>1638448</vt:i4>
      </vt:variant>
      <vt:variant>
        <vt:i4>182</vt:i4>
      </vt:variant>
      <vt:variant>
        <vt:i4>0</vt:i4>
      </vt:variant>
      <vt:variant>
        <vt:i4>5</vt:i4>
      </vt:variant>
      <vt:variant>
        <vt:lpwstr/>
      </vt:variant>
      <vt:variant>
        <vt:lpwstr>_Toc406079571</vt:lpwstr>
      </vt:variant>
      <vt:variant>
        <vt:i4>1638448</vt:i4>
      </vt:variant>
      <vt:variant>
        <vt:i4>176</vt:i4>
      </vt:variant>
      <vt:variant>
        <vt:i4>0</vt:i4>
      </vt:variant>
      <vt:variant>
        <vt:i4>5</vt:i4>
      </vt:variant>
      <vt:variant>
        <vt:lpwstr/>
      </vt:variant>
      <vt:variant>
        <vt:lpwstr>_Toc406079570</vt:lpwstr>
      </vt:variant>
      <vt:variant>
        <vt:i4>1572912</vt:i4>
      </vt:variant>
      <vt:variant>
        <vt:i4>170</vt:i4>
      </vt:variant>
      <vt:variant>
        <vt:i4>0</vt:i4>
      </vt:variant>
      <vt:variant>
        <vt:i4>5</vt:i4>
      </vt:variant>
      <vt:variant>
        <vt:lpwstr/>
      </vt:variant>
      <vt:variant>
        <vt:lpwstr>_Toc406079569</vt:lpwstr>
      </vt:variant>
      <vt:variant>
        <vt:i4>1572912</vt:i4>
      </vt:variant>
      <vt:variant>
        <vt:i4>164</vt:i4>
      </vt:variant>
      <vt:variant>
        <vt:i4>0</vt:i4>
      </vt:variant>
      <vt:variant>
        <vt:i4>5</vt:i4>
      </vt:variant>
      <vt:variant>
        <vt:lpwstr/>
      </vt:variant>
      <vt:variant>
        <vt:lpwstr>_Toc406079568</vt:lpwstr>
      </vt:variant>
      <vt:variant>
        <vt:i4>1572912</vt:i4>
      </vt:variant>
      <vt:variant>
        <vt:i4>158</vt:i4>
      </vt:variant>
      <vt:variant>
        <vt:i4>0</vt:i4>
      </vt:variant>
      <vt:variant>
        <vt:i4>5</vt:i4>
      </vt:variant>
      <vt:variant>
        <vt:lpwstr/>
      </vt:variant>
      <vt:variant>
        <vt:lpwstr>_Toc406079567</vt:lpwstr>
      </vt:variant>
      <vt:variant>
        <vt:i4>1572912</vt:i4>
      </vt:variant>
      <vt:variant>
        <vt:i4>152</vt:i4>
      </vt:variant>
      <vt:variant>
        <vt:i4>0</vt:i4>
      </vt:variant>
      <vt:variant>
        <vt:i4>5</vt:i4>
      </vt:variant>
      <vt:variant>
        <vt:lpwstr/>
      </vt:variant>
      <vt:variant>
        <vt:lpwstr>_Toc406079566</vt:lpwstr>
      </vt:variant>
      <vt:variant>
        <vt:i4>1572912</vt:i4>
      </vt:variant>
      <vt:variant>
        <vt:i4>146</vt:i4>
      </vt:variant>
      <vt:variant>
        <vt:i4>0</vt:i4>
      </vt:variant>
      <vt:variant>
        <vt:i4>5</vt:i4>
      </vt:variant>
      <vt:variant>
        <vt:lpwstr/>
      </vt:variant>
      <vt:variant>
        <vt:lpwstr>_Toc406079565</vt:lpwstr>
      </vt:variant>
      <vt:variant>
        <vt:i4>1572912</vt:i4>
      </vt:variant>
      <vt:variant>
        <vt:i4>140</vt:i4>
      </vt:variant>
      <vt:variant>
        <vt:i4>0</vt:i4>
      </vt:variant>
      <vt:variant>
        <vt:i4>5</vt:i4>
      </vt:variant>
      <vt:variant>
        <vt:lpwstr/>
      </vt:variant>
      <vt:variant>
        <vt:lpwstr>_Toc406079564</vt:lpwstr>
      </vt:variant>
      <vt:variant>
        <vt:i4>1572912</vt:i4>
      </vt:variant>
      <vt:variant>
        <vt:i4>134</vt:i4>
      </vt:variant>
      <vt:variant>
        <vt:i4>0</vt:i4>
      </vt:variant>
      <vt:variant>
        <vt:i4>5</vt:i4>
      </vt:variant>
      <vt:variant>
        <vt:lpwstr/>
      </vt:variant>
      <vt:variant>
        <vt:lpwstr>_Toc406079563</vt:lpwstr>
      </vt:variant>
      <vt:variant>
        <vt:i4>1572912</vt:i4>
      </vt:variant>
      <vt:variant>
        <vt:i4>128</vt:i4>
      </vt:variant>
      <vt:variant>
        <vt:i4>0</vt:i4>
      </vt:variant>
      <vt:variant>
        <vt:i4>5</vt:i4>
      </vt:variant>
      <vt:variant>
        <vt:lpwstr/>
      </vt:variant>
      <vt:variant>
        <vt:lpwstr>_Toc406079562</vt:lpwstr>
      </vt:variant>
      <vt:variant>
        <vt:i4>1572912</vt:i4>
      </vt:variant>
      <vt:variant>
        <vt:i4>122</vt:i4>
      </vt:variant>
      <vt:variant>
        <vt:i4>0</vt:i4>
      </vt:variant>
      <vt:variant>
        <vt:i4>5</vt:i4>
      </vt:variant>
      <vt:variant>
        <vt:lpwstr/>
      </vt:variant>
      <vt:variant>
        <vt:lpwstr>_Toc406079561</vt:lpwstr>
      </vt:variant>
      <vt:variant>
        <vt:i4>1572912</vt:i4>
      </vt:variant>
      <vt:variant>
        <vt:i4>116</vt:i4>
      </vt:variant>
      <vt:variant>
        <vt:i4>0</vt:i4>
      </vt:variant>
      <vt:variant>
        <vt:i4>5</vt:i4>
      </vt:variant>
      <vt:variant>
        <vt:lpwstr/>
      </vt:variant>
      <vt:variant>
        <vt:lpwstr>_Toc406079560</vt:lpwstr>
      </vt:variant>
      <vt:variant>
        <vt:i4>1769520</vt:i4>
      </vt:variant>
      <vt:variant>
        <vt:i4>110</vt:i4>
      </vt:variant>
      <vt:variant>
        <vt:i4>0</vt:i4>
      </vt:variant>
      <vt:variant>
        <vt:i4>5</vt:i4>
      </vt:variant>
      <vt:variant>
        <vt:lpwstr/>
      </vt:variant>
      <vt:variant>
        <vt:lpwstr>_Toc406079559</vt:lpwstr>
      </vt:variant>
      <vt:variant>
        <vt:i4>1769520</vt:i4>
      </vt:variant>
      <vt:variant>
        <vt:i4>104</vt:i4>
      </vt:variant>
      <vt:variant>
        <vt:i4>0</vt:i4>
      </vt:variant>
      <vt:variant>
        <vt:i4>5</vt:i4>
      </vt:variant>
      <vt:variant>
        <vt:lpwstr/>
      </vt:variant>
      <vt:variant>
        <vt:lpwstr>_Toc406079558</vt:lpwstr>
      </vt:variant>
      <vt:variant>
        <vt:i4>1769520</vt:i4>
      </vt:variant>
      <vt:variant>
        <vt:i4>98</vt:i4>
      </vt:variant>
      <vt:variant>
        <vt:i4>0</vt:i4>
      </vt:variant>
      <vt:variant>
        <vt:i4>5</vt:i4>
      </vt:variant>
      <vt:variant>
        <vt:lpwstr/>
      </vt:variant>
      <vt:variant>
        <vt:lpwstr>_Toc406079557</vt:lpwstr>
      </vt:variant>
      <vt:variant>
        <vt:i4>1769520</vt:i4>
      </vt:variant>
      <vt:variant>
        <vt:i4>92</vt:i4>
      </vt:variant>
      <vt:variant>
        <vt:i4>0</vt:i4>
      </vt:variant>
      <vt:variant>
        <vt:i4>5</vt:i4>
      </vt:variant>
      <vt:variant>
        <vt:lpwstr/>
      </vt:variant>
      <vt:variant>
        <vt:lpwstr>_Toc406079556</vt:lpwstr>
      </vt:variant>
      <vt:variant>
        <vt:i4>1769520</vt:i4>
      </vt:variant>
      <vt:variant>
        <vt:i4>86</vt:i4>
      </vt:variant>
      <vt:variant>
        <vt:i4>0</vt:i4>
      </vt:variant>
      <vt:variant>
        <vt:i4>5</vt:i4>
      </vt:variant>
      <vt:variant>
        <vt:lpwstr/>
      </vt:variant>
      <vt:variant>
        <vt:lpwstr>_Toc406079555</vt:lpwstr>
      </vt:variant>
      <vt:variant>
        <vt:i4>1769520</vt:i4>
      </vt:variant>
      <vt:variant>
        <vt:i4>80</vt:i4>
      </vt:variant>
      <vt:variant>
        <vt:i4>0</vt:i4>
      </vt:variant>
      <vt:variant>
        <vt:i4>5</vt:i4>
      </vt:variant>
      <vt:variant>
        <vt:lpwstr/>
      </vt:variant>
      <vt:variant>
        <vt:lpwstr>_Toc406079554</vt:lpwstr>
      </vt:variant>
      <vt:variant>
        <vt:i4>1769520</vt:i4>
      </vt:variant>
      <vt:variant>
        <vt:i4>74</vt:i4>
      </vt:variant>
      <vt:variant>
        <vt:i4>0</vt:i4>
      </vt:variant>
      <vt:variant>
        <vt:i4>5</vt:i4>
      </vt:variant>
      <vt:variant>
        <vt:lpwstr/>
      </vt:variant>
      <vt:variant>
        <vt:lpwstr>_Toc406079553</vt:lpwstr>
      </vt:variant>
      <vt:variant>
        <vt:i4>1769520</vt:i4>
      </vt:variant>
      <vt:variant>
        <vt:i4>68</vt:i4>
      </vt:variant>
      <vt:variant>
        <vt:i4>0</vt:i4>
      </vt:variant>
      <vt:variant>
        <vt:i4>5</vt:i4>
      </vt:variant>
      <vt:variant>
        <vt:lpwstr/>
      </vt:variant>
      <vt:variant>
        <vt:lpwstr>_Toc406079552</vt:lpwstr>
      </vt:variant>
      <vt:variant>
        <vt:i4>1769520</vt:i4>
      </vt:variant>
      <vt:variant>
        <vt:i4>62</vt:i4>
      </vt:variant>
      <vt:variant>
        <vt:i4>0</vt:i4>
      </vt:variant>
      <vt:variant>
        <vt:i4>5</vt:i4>
      </vt:variant>
      <vt:variant>
        <vt:lpwstr/>
      </vt:variant>
      <vt:variant>
        <vt:lpwstr>_Toc406079551</vt:lpwstr>
      </vt:variant>
      <vt:variant>
        <vt:i4>1769520</vt:i4>
      </vt:variant>
      <vt:variant>
        <vt:i4>56</vt:i4>
      </vt:variant>
      <vt:variant>
        <vt:i4>0</vt:i4>
      </vt:variant>
      <vt:variant>
        <vt:i4>5</vt:i4>
      </vt:variant>
      <vt:variant>
        <vt:lpwstr/>
      </vt:variant>
      <vt:variant>
        <vt:lpwstr>_Toc406079550</vt:lpwstr>
      </vt:variant>
      <vt:variant>
        <vt:i4>1703984</vt:i4>
      </vt:variant>
      <vt:variant>
        <vt:i4>50</vt:i4>
      </vt:variant>
      <vt:variant>
        <vt:i4>0</vt:i4>
      </vt:variant>
      <vt:variant>
        <vt:i4>5</vt:i4>
      </vt:variant>
      <vt:variant>
        <vt:lpwstr/>
      </vt:variant>
      <vt:variant>
        <vt:lpwstr>_Toc406079549</vt:lpwstr>
      </vt:variant>
      <vt:variant>
        <vt:i4>1703984</vt:i4>
      </vt:variant>
      <vt:variant>
        <vt:i4>44</vt:i4>
      </vt:variant>
      <vt:variant>
        <vt:i4>0</vt:i4>
      </vt:variant>
      <vt:variant>
        <vt:i4>5</vt:i4>
      </vt:variant>
      <vt:variant>
        <vt:lpwstr/>
      </vt:variant>
      <vt:variant>
        <vt:lpwstr>_Toc406079548</vt:lpwstr>
      </vt:variant>
      <vt:variant>
        <vt:i4>1703984</vt:i4>
      </vt:variant>
      <vt:variant>
        <vt:i4>38</vt:i4>
      </vt:variant>
      <vt:variant>
        <vt:i4>0</vt:i4>
      </vt:variant>
      <vt:variant>
        <vt:i4>5</vt:i4>
      </vt:variant>
      <vt:variant>
        <vt:lpwstr/>
      </vt:variant>
      <vt:variant>
        <vt:lpwstr>_Toc406079547</vt:lpwstr>
      </vt:variant>
      <vt:variant>
        <vt:i4>1703984</vt:i4>
      </vt:variant>
      <vt:variant>
        <vt:i4>32</vt:i4>
      </vt:variant>
      <vt:variant>
        <vt:i4>0</vt:i4>
      </vt:variant>
      <vt:variant>
        <vt:i4>5</vt:i4>
      </vt:variant>
      <vt:variant>
        <vt:lpwstr/>
      </vt:variant>
      <vt:variant>
        <vt:lpwstr>_Toc406079546</vt:lpwstr>
      </vt:variant>
      <vt:variant>
        <vt:i4>1703984</vt:i4>
      </vt:variant>
      <vt:variant>
        <vt:i4>26</vt:i4>
      </vt:variant>
      <vt:variant>
        <vt:i4>0</vt:i4>
      </vt:variant>
      <vt:variant>
        <vt:i4>5</vt:i4>
      </vt:variant>
      <vt:variant>
        <vt:lpwstr/>
      </vt:variant>
      <vt:variant>
        <vt:lpwstr>_Toc406079545</vt:lpwstr>
      </vt:variant>
      <vt:variant>
        <vt:i4>1703984</vt:i4>
      </vt:variant>
      <vt:variant>
        <vt:i4>20</vt:i4>
      </vt:variant>
      <vt:variant>
        <vt:i4>0</vt:i4>
      </vt:variant>
      <vt:variant>
        <vt:i4>5</vt:i4>
      </vt:variant>
      <vt:variant>
        <vt:lpwstr/>
      </vt:variant>
      <vt:variant>
        <vt:lpwstr>_Toc406079544</vt:lpwstr>
      </vt:variant>
      <vt:variant>
        <vt:i4>1703984</vt:i4>
      </vt:variant>
      <vt:variant>
        <vt:i4>14</vt:i4>
      </vt:variant>
      <vt:variant>
        <vt:i4>0</vt:i4>
      </vt:variant>
      <vt:variant>
        <vt:i4>5</vt:i4>
      </vt:variant>
      <vt:variant>
        <vt:lpwstr/>
      </vt:variant>
      <vt:variant>
        <vt:lpwstr>_Toc406079543</vt:lpwstr>
      </vt:variant>
      <vt:variant>
        <vt:i4>1703984</vt:i4>
      </vt:variant>
      <vt:variant>
        <vt:i4>8</vt:i4>
      </vt:variant>
      <vt:variant>
        <vt:i4>0</vt:i4>
      </vt:variant>
      <vt:variant>
        <vt:i4>5</vt:i4>
      </vt:variant>
      <vt:variant>
        <vt:lpwstr/>
      </vt:variant>
      <vt:variant>
        <vt:lpwstr>_Toc406079542</vt:lpwstr>
      </vt:variant>
      <vt:variant>
        <vt:i4>1703984</vt:i4>
      </vt:variant>
      <vt:variant>
        <vt:i4>2</vt:i4>
      </vt:variant>
      <vt:variant>
        <vt:i4>0</vt:i4>
      </vt:variant>
      <vt:variant>
        <vt:i4>5</vt:i4>
      </vt:variant>
      <vt:variant>
        <vt:lpwstr/>
      </vt:variant>
      <vt:variant>
        <vt:lpwstr>_Toc406079541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218</dc:title>
  <dc:subject/>
  <dc:creator>Laurie Sales</dc:creator>
  <cp:lastModifiedBy>Joe Hopkins</cp:lastModifiedBy>
  <cp:revision>26</cp:revision>
  <cp:lastPrinted>2025-10-14T17:19:00Z</cp:lastPrinted>
  <dcterms:created xsi:type="dcterms:W3CDTF">2025-10-13T14:18:00Z</dcterms:created>
  <dcterms:modified xsi:type="dcterms:W3CDTF">2025-10-15T02:08:00Z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e806bd6ad34b888dea804794a6d324b68f3ea6f8fedd56b5bab6ffa8eaf94ce4</vt:lpwstr>
  </property>
  <property fmtid="{D5CDD505-2E9C-101B-9397-08002B2CF9AE}" pid="3" name="_DocHome">
    <vt:i4>397111427</vt:i4>
  </property>
</Properties>
</file>