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5304" w14:textId="77777777" w:rsidR="00B762D6" w:rsidRDefault="00DB5996">
      <w:pPr>
        <w:spacing w:after="199" w:line="259" w:lineRule="auto"/>
        <w:ind w:left="115" w:firstLine="0"/>
        <w:jc w:val="center"/>
      </w:pPr>
      <w:r>
        <w:t>MINUTES OF THE MEETING OF THE</w:t>
      </w:r>
    </w:p>
    <w:p w14:paraId="00E76CE4" w14:textId="77777777" w:rsidR="00B762D6" w:rsidRDefault="00DB5996">
      <w:pPr>
        <w:spacing w:after="197" w:line="259" w:lineRule="auto"/>
        <w:ind w:left="140" w:right="34" w:hanging="10"/>
        <w:jc w:val="center"/>
      </w:pPr>
      <w:r>
        <w:rPr>
          <w:sz w:val="24"/>
        </w:rPr>
        <w:t>TRANQUILLITY IRRIGATION DISTRICT BOARD OF DIRECTORS</w:t>
      </w:r>
    </w:p>
    <w:p w14:paraId="49490F4A" w14:textId="77777777" w:rsidR="00B762D6" w:rsidRDefault="00DB5996">
      <w:pPr>
        <w:spacing w:after="197" w:line="259" w:lineRule="auto"/>
        <w:ind w:left="140" w:hanging="10"/>
        <w:jc w:val="center"/>
      </w:pPr>
      <w:r>
        <w:rPr>
          <w:sz w:val="24"/>
        </w:rPr>
        <w:t>May 15, 2024</w:t>
      </w:r>
    </w:p>
    <w:p w14:paraId="12DC6706" w14:textId="77777777" w:rsidR="00B762D6" w:rsidRDefault="00DB5996">
      <w:pPr>
        <w:spacing w:after="272"/>
        <w:ind w:left="9"/>
      </w:pPr>
      <w:r>
        <w:t>PRESENT: President Jerome F Salvador, Director George Ayerza Jr, Director William Pucheu, General Manager Danny M Wade, Counsel Lauren Layne, Engineering Consultant Joe Hopkins &amp; Secretary/Treasurer Liz Reeves</w:t>
      </w:r>
    </w:p>
    <w:p w14:paraId="2C6907A7" w14:textId="77777777" w:rsidR="00B762D6" w:rsidRDefault="00DB5996">
      <w:pPr>
        <w:spacing w:after="249"/>
        <w:ind w:left="9"/>
      </w:pPr>
      <w:r>
        <w:t>ABSENT: Assistant Manager Rodney D Wade</w:t>
      </w:r>
    </w:p>
    <w:p w14:paraId="54576D87" w14:textId="77777777" w:rsidR="00B762D6" w:rsidRDefault="00DB5996">
      <w:pPr>
        <w:spacing w:after="252"/>
        <w:ind w:left="9"/>
      </w:pPr>
      <w:r>
        <w:t>President Salvador called the meeting to order at 8:30 am.</w:t>
      </w:r>
    </w:p>
    <w:p w14:paraId="3911C868" w14:textId="77777777" w:rsidR="00B762D6" w:rsidRDefault="00DB5996">
      <w:pPr>
        <w:spacing w:after="236" w:line="259" w:lineRule="auto"/>
        <w:ind w:left="9" w:hanging="10"/>
        <w:jc w:val="left"/>
      </w:pPr>
      <w:r>
        <w:rPr>
          <w:sz w:val="24"/>
        </w:rPr>
        <w:t>ADDITIONS OR DELETIONS TO AGENDA: None</w:t>
      </w:r>
    </w:p>
    <w:p w14:paraId="7A421AFD" w14:textId="77777777" w:rsidR="00B762D6" w:rsidRDefault="00DB5996">
      <w:pPr>
        <w:spacing w:after="236" w:line="259" w:lineRule="auto"/>
        <w:ind w:left="9" w:hanging="10"/>
        <w:jc w:val="left"/>
      </w:pPr>
      <w:r>
        <w:rPr>
          <w:sz w:val="24"/>
        </w:rPr>
        <w:t>PUBLIC COMMENTS: none</w:t>
      </w:r>
    </w:p>
    <w:p w14:paraId="55125A9D" w14:textId="77777777" w:rsidR="00B762D6" w:rsidRDefault="00DB5996">
      <w:pPr>
        <w:spacing w:after="251"/>
        <w:ind w:left="9"/>
      </w:pPr>
      <w:r>
        <w:t>MINUTES: The minutes of the meeting of April 17, 2024 was approved on voice count. Director Pucheu motioned for approval and Director Ayerza seconded the motion.</w:t>
      </w:r>
    </w:p>
    <w:p w14:paraId="3C2B18DE" w14:textId="77777777" w:rsidR="00B762D6" w:rsidRDefault="00DB5996">
      <w:pPr>
        <w:spacing w:after="240"/>
        <w:ind w:left="9" w:right="710"/>
      </w:pPr>
      <w:r>
        <w:t>TREASURER REPORT: The Cash Flow statement was presented for the month of April 2024 including the cash disbursements and receivables. Director Pucheu motioned for approval of the Treasurer report. Director Ayerza seconded the motion.</w:t>
      </w:r>
    </w:p>
    <w:p w14:paraId="5C65E2B3" w14:textId="77777777" w:rsidR="00B762D6" w:rsidRDefault="00DB5996">
      <w:pPr>
        <w:ind w:left="9"/>
      </w:pPr>
      <w:r>
        <w:t>WATERMASTER'S REPORTS: Water use — irrigation and drinking water: Manager Wade reported on the usage totals for the month of April 2024, along with the well pumping totals and the Mendota pool reporting.</w:t>
      </w:r>
    </w:p>
    <w:p w14:paraId="4BB6D600" w14:textId="77777777" w:rsidR="00B762D6" w:rsidRDefault="00DB5996">
      <w:pPr>
        <w:ind w:left="9"/>
      </w:pPr>
      <w:r>
        <w:rPr>
          <w:noProof/>
        </w:rPr>
        <w:drawing>
          <wp:anchor distT="0" distB="0" distL="114300" distR="114300" simplePos="0" relativeHeight="251658240" behindDoc="0" locked="0" layoutInCell="1" allowOverlap="0" wp14:anchorId="4BFF265B" wp14:editId="166F4CD9">
            <wp:simplePos x="0" y="0"/>
            <wp:positionH relativeFrom="page">
              <wp:posOffset>396240</wp:posOffset>
            </wp:positionH>
            <wp:positionV relativeFrom="page">
              <wp:posOffset>4951453</wp:posOffset>
            </wp:positionV>
            <wp:extent cx="6096" cy="6098"/>
            <wp:effectExtent l="0" t="0" r="0" b="0"/>
            <wp:wrapSquare wrapText="bothSides"/>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5"/>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59264" behindDoc="0" locked="0" layoutInCell="1" allowOverlap="0" wp14:anchorId="46E3E7DD" wp14:editId="3042EA9E">
            <wp:simplePos x="0" y="0"/>
            <wp:positionH relativeFrom="page">
              <wp:posOffset>256032</wp:posOffset>
            </wp:positionH>
            <wp:positionV relativeFrom="page">
              <wp:posOffset>8762607</wp:posOffset>
            </wp:positionV>
            <wp:extent cx="137160" cy="39636"/>
            <wp:effectExtent l="0" t="0" r="0" b="0"/>
            <wp:wrapSquare wrapText="bothSides"/>
            <wp:docPr id="8014" name="Picture 8014"/>
            <wp:cNvGraphicFramePr/>
            <a:graphic xmlns:a="http://schemas.openxmlformats.org/drawingml/2006/main">
              <a:graphicData uri="http://schemas.openxmlformats.org/drawingml/2006/picture">
                <pic:pic xmlns:pic="http://schemas.openxmlformats.org/drawingml/2006/picture">
                  <pic:nvPicPr>
                    <pic:cNvPr id="8014" name="Picture 8014"/>
                    <pic:cNvPicPr/>
                  </pic:nvPicPr>
                  <pic:blipFill>
                    <a:blip r:embed="rId6"/>
                    <a:stretch>
                      <a:fillRect/>
                    </a:stretch>
                  </pic:blipFill>
                  <pic:spPr>
                    <a:xfrm>
                      <a:off x="0" y="0"/>
                      <a:ext cx="137160" cy="39636"/>
                    </a:xfrm>
                    <a:prstGeom prst="rect">
                      <a:avLst/>
                    </a:prstGeom>
                  </pic:spPr>
                </pic:pic>
              </a:graphicData>
            </a:graphic>
          </wp:anchor>
        </w:drawing>
      </w:r>
      <w:r>
        <w:t>The well depths along with PH/TDS readings were presented to the Board.</w:t>
      </w:r>
    </w:p>
    <w:p w14:paraId="403CAA32" w14:textId="77777777" w:rsidR="00B762D6" w:rsidRDefault="00DB5996">
      <w:pPr>
        <w:spacing w:after="246"/>
        <w:ind w:left="9" w:right="4411"/>
      </w:pPr>
      <w:r>
        <w:t>We are taking some Kings River flood waters for the month of May. We will be submitting another USBR reschedule request.</w:t>
      </w:r>
    </w:p>
    <w:p w14:paraId="725A2517" w14:textId="77777777" w:rsidR="00B762D6" w:rsidRDefault="00DB5996">
      <w:pPr>
        <w:spacing w:after="229" w:line="259" w:lineRule="auto"/>
        <w:ind w:left="9" w:hanging="10"/>
        <w:jc w:val="left"/>
      </w:pPr>
      <w:r>
        <w:rPr>
          <w:sz w:val="24"/>
        </w:rPr>
        <w:t>DIRECTOR REPORT: none</w:t>
      </w:r>
    </w:p>
    <w:p w14:paraId="074DD6E6" w14:textId="77777777" w:rsidR="00B762D6" w:rsidRDefault="00DB5996">
      <w:pPr>
        <w:spacing w:after="3" w:line="259" w:lineRule="auto"/>
        <w:ind w:left="9" w:hanging="10"/>
        <w:jc w:val="left"/>
      </w:pPr>
      <w:r>
        <w:rPr>
          <w:sz w:val="24"/>
        </w:rPr>
        <w:t>NEW BUSINESS/ACTION ITEMS:</w:t>
      </w:r>
    </w:p>
    <w:p w14:paraId="5039ECA0" w14:textId="77777777" w:rsidR="00B762D6" w:rsidRDefault="00DB5996">
      <w:pPr>
        <w:spacing w:after="242"/>
        <w:ind w:left="370"/>
      </w:pPr>
      <w:r>
        <w:t xml:space="preserve">A. Easement Agreement with </w:t>
      </w:r>
      <w:proofErr w:type="spellStart"/>
      <w:r>
        <w:t>Tranquillity</w:t>
      </w:r>
      <w:proofErr w:type="spellEnd"/>
      <w:r>
        <w:t xml:space="preserve"> Public Utilities District (sewer lift station) — tabled until next month</w:t>
      </w:r>
    </w:p>
    <w:p w14:paraId="5937A35F" w14:textId="77777777" w:rsidR="00B762D6" w:rsidRDefault="00DB5996">
      <w:pPr>
        <w:ind w:left="9"/>
      </w:pPr>
      <w:r>
        <w:t xml:space="preserve">COUNSEL REPORT: In regards to legal matters affecting the </w:t>
      </w:r>
      <w:proofErr w:type="gramStart"/>
      <w:r>
        <w:t>District</w:t>
      </w:r>
      <w:proofErr w:type="gramEnd"/>
      <w:r>
        <w:t>: Legislation: AB2079 — prohibits drilling ag wells moving forward in an effort to stop subsidence — ACWA is opposed unless amend.</w:t>
      </w:r>
    </w:p>
    <w:p w14:paraId="468346E8" w14:textId="77777777" w:rsidR="00B762D6" w:rsidRDefault="00DB5996">
      <w:pPr>
        <w:spacing w:after="229"/>
        <w:ind w:left="9"/>
      </w:pPr>
      <w:r>
        <w:t>SGMA: for the single GSP they are currently working on the minimum threshold part of the well mitigation for the domestic wells. Language is needed for the cities to cover their wells when they get low. There will be webinars to help the public understand what is going on.</w:t>
      </w:r>
    </w:p>
    <w:p w14:paraId="3544127D" w14:textId="77777777" w:rsidR="00B762D6" w:rsidRDefault="00DB5996">
      <w:pPr>
        <w:spacing w:after="3" w:line="259" w:lineRule="auto"/>
        <w:ind w:left="9" w:hanging="10"/>
        <w:jc w:val="left"/>
      </w:pPr>
      <w:r>
        <w:rPr>
          <w:sz w:val="24"/>
        </w:rPr>
        <w:t>ENGINEERING CONSULTANT REPORT:</w:t>
      </w:r>
    </w:p>
    <w:p w14:paraId="0F8627F2" w14:textId="77777777" w:rsidR="00B762D6" w:rsidRDefault="00DB5996">
      <w:pPr>
        <w:ind w:left="9"/>
      </w:pPr>
      <w:r>
        <w:rPr>
          <w:u w:val="single" w:color="000000"/>
        </w:rPr>
        <w:t>SGMA</w:t>
      </w:r>
      <w:r>
        <w:t>: they are working on resubmitting the GSP by July and they feel this is closer to what DWR is looking for. Water quality readings will be taken this summer for the wells.</w:t>
      </w:r>
    </w:p>
    <w:p w14:paraId="28B71CEC" w14:textId="77777777" w:rsidR="00B762D6" w:rsidRDefault="00DB5996">
      <w:pPr>
        <w:spacing w:after="227"/>
        <w:ind w:left="9"/>
      </w:pPr>
      <w:r>
        <w:rPr>
          <w:u w:val="single" w:color="000000"/>
        </w:rPr>
        <w:t>Projects</w:t>
      </w:r>
      <w:r>
        <w:t>: nothing new to report other than we are still waiting on the grant reimbursement from the State.</w:t>
      </w:r>
    </w:p>
    <w:p w14:paraId="13DD5172" w14:textId="77777777" w:rsidR="00B762D6" w:rsidRDefault="00DB5996">
      <w:pPr>
        <w:spacing w:after="3" w:line="259" w:lineRule="auto"/>
        <w:ind w:left="9" w:hanging="10"/>
        <w:jc w:val="left"/>
      </w:pPr>
      <w:r>
        <w:rPr>
          <w:sz w:val="24"/>
        </w:rPr>
        <w:t>MANAGER REPORT:</w:t>
      </w:r>
    </w:p>
    <w:p w14:paraId="2C8A2F5F" w14:textId="77777777" w:rsidR="00B762D6" w:rsidRDefault="00B762D6">
      <w:pPr>
        <w:sectPr w:rsidR="00B762D6">
          <w:pgSz w:w="12240" w:h="15840"/>
          <w:pgMar w:top="784" w:right="802" w:bottom="899" w:left="710" w:header="720" w:footer="720" w:gutter="0"/>
          <w:cols w:space="720"/>
        </w:sectPr>
      </w:pPr>
    </w:p>
    <w:p w14:paraId="4C4828C0" w14:textId="77777777" w:rsidR="00B762D6" w:rsidRDefault="00DB5996">
      <w:pPr>
        <w:numPr>
          <w:ilvl w:val="0"/>
          <w:numId w:val="1"/>
        </w:numPr>
        <w:ind w:left="764" w:hanging="370"/>
      </w:pPr>
      <w:r>
        <w:t xml:space="preserve">2024 Water Schedule </w:t>
      </w:r>
      <w:proofErr w:type="gramStart"/>
      <w:r>
        <w:t>Tracking :</w:t>
      </w:r>
      <w:proofErr w:type="gramEnd"/>
      <w:r>
        <w:t xml:space="preserve"> updated report was presented</w:t>
      </w:r>
    </w:p>
    <w:p w14:paraId="07503468" w14:textId="77777777" w:rsidR="00B762D6" w:rsidRDefault="00DB5996">
      <w:pPr>
        <w:numPr>
          <w:ilvl w:val="0"/>
          <w:numId w:val="1"/>
        </w:numPr>
        <w:ind w:left="764" w:hanging="370"/>
      </w:pPr>
      <w:r>
        <w:t>KRWA Water/Revised Schedule: We are considering taking some of our Kings River water since the flood releases are coming down.</w:t>
      </w:r>
    </w:p>
    <w:p w14:paraId="2AF7276A" w14:textId="77777777" w:rsidR="00B762D6" w:rsidRDefault="00DB5996">
      <w:pPr>
        <w:numPr>
          <w:ilvl w:val="0"/>
          <w:numId w:val="1"/>
        </w:numPr>
        <w:ind w:left="764" w:hanging="370"/>
      </w:pPr>
      <w:r>
        <w:lastRenderedPageBreak/>
        <w:t xml:space="preserve">SLWD — </w:t>
      </w:r>
      <w:proofErr w:type="gramStart"/>
      <w:r>
        <w:t>Update :</w:t>
      </w:r>
      <w:proofErr w:type="gramEnd"/>
      <w:r>
        <w:t xml:space="preserve"> they are currently taking the 2023 rescheduled contract water. They will also be taking the available 40% 2024 contract water.</w:t>
      </w:r>
    </w:p>
    <w:p w14:paraId="66AFD8BC" w14:textId="77777777" w:rsidR="00B762D6" w:rsidRDefault="00DB5996">
      <w:pPr>
        <w:numPr>
          <w:ilvl w:val="0"/>
          <w:numId w:val="1"/>
        </w:numPr>
        <w:ind w:left="764" w:hanging="370"/>
      </w:pPr>
      <w:r>
        <w:t>Grants/Money Return: see Engineering report</w:t>
      </w:r>
    </w:p>
    <w:p w14:paraId="031A8C3A" w14:textId="77777777" w:rsidR="00B762D6" w:rsidRDefault="00DB5996">
      <w:pPr>
        <w:ind w:left="1483"/>
      </w:pPr>
      <w:r>
        <w:t>Negotiating Parties: TID &amp; Angiola WD</w:t>
      </w:r>
    </w:p>
    <w:p w14:paraId="2C823E13" w14:textId="77777777" w:rsidR="00B762D6" w:rsidRDefault="00DB5996">
      <w:pPr>
        <w:spacing w:after="333"/>
        <w:ind w:left="1479" w:right="5995"/>
      </w:pPr>
      <w:r>
        <w:t xml:space="preserve">Under Negotiation: Price &amp; Terms </w:t>
      </w:r>
      <w:r>
        <w:t>(no reportable action)</w:t>
      </w:r>
    </w:p>
    <w:p w14:paraId="1B9430CE" w14:textId="77777777" w:rsidR="00B762D6" w:rsidRDefault="00DB5996">
      <w:pPr>
        <w:numPr>
          <w:ilvl w:val="1"/>
          <w:numId w:val="1"/>
        </w:numPr>
        <w:ind w:hanging="365"/>
        <w:jc w:val="left"/>
      </w:pPr>
      <w:r>
        <w:rPr>
          <w:sz w:val="24"/>
        </w:rPr>
        <w:t>CONFERENCE WITH LEGAL COUNSEL - EXISTING LITIGATION</w:t>
      </w:r>
    </w:p>
    <w:p w14:paraId="1F210769" w14:textId="77777777" w:rsidR="00B762D6" w:rsidRDefault="00DB5996">
      <w:pPr>
        <w:ind w:left="1474"/>
      </w:pPr>
      <w:r>
        <w:t>Closed Session pursuant to California Government Code Section 54956.9(d)(1).</w:t>
      </w:r>
    </w:p>
    <w:p w14:paraId="5125FFF1" w14:textId="77777777" w:rsidR="00B762D6" w:rsidRDefault="00DB5996">
      <w:pPr>
        <w:ind w:left="1853" w:right="96" w:firstLine="53"/>
      </w:pPr>
      <w:r>
        <w:rPr>
          <w:noProof/>
        </w:rPr>
        <w:drawing>
          <wp:inline distT="0" distB="0" distL="0" distR="0" wp14:anchorId="122F875E" wp14:editId="4468DE11">
            <wp:extent cx="51816" cy="97565"/>
            <wp:effectExtent l="0" t="0" r="0" b="0"/>
            <wp:docPr id="8017" name="Picture 8017"/>
            <wp:cNvGraphicFramePr/>
            <a:graphic xmlns:a="http://schemas.openxmlformats.org/drawingml/2006/main">
              <a:graphicData uri="http://schemas.openxmlformats.org/drawingml/2006/picture">
                <pic:pic xmlns:pic="http://schemas.openxmlformats.org/drawingml/2006/picture">
                  <pic:nvPicPr>
                    <pic:cNvPr id="8017" name="Picture 8017"/>
                    <pic:cNvPicPr/>
                  </pic:nvPicPr>
                  <pic:blipFill>
                    <a:blip r:embed="rId7"/>
                    <a:stretch>
                      <a:fillRect/>
                    </a:stretch>
                  </pic:blipFill>
                  <pic:spPr>
                    <a:xfrm>
                      <a:off x="0" y="0"/>
                      <a:ext cx="51816" cy="97565"/>
                    </a:xfrm>
                    <a:prstGeom prst="rect">
                      <a:avLst/>
                    </a:prstGeom>
                  </pic:spPr>
                </pic:pic>
              </a:graphicData>
            </a:graphic>
          </wp:inline>
        </w:drawing>
      </w:r>
      <w: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 (no reportable action) ii. Name of case: Center for Biological Diversity, Restore the Delta, and Planning and Conservation</w:t>
      </w:r>
    </w:p>
    <w:p w14:paraId="39D88E41" w14:textId="77777777" w:rsidR="00B762D6" w:rsidRDefault="00DB5996">
      <w:pPr>
        <w:ind w:left="2194"/>
      </w:pPr>
      <w:r>
        <w:t xml:space="preserve">League v. United States Bureau of Reclamation, </w:t>
      </w:r>
      <w:proofErr w:type="spellStart"/>
      <w:r>
        <w:t>Tranquillity</w:t>
      </w:r>
      <w:proofErr w:type="spellEnd"/>
      <w:r>
        <w:t xml:space="preserve"> Irrigation District, et al. In the</w:t>
      </w:r>
    </w:p>
    <w:p w14:paraId="43D614F3" w14:textId="77777777" w:rsidR="00B762D6" w:rsidRDefault="00DB5996">
      <w:pPr>
        <w:spacing w:after="291"/>
        <w:ind w:left="2194"/>
      </w:pPr>
      <w:r>
        <w:t>United States District Court for the Eastern District of California, Case No. 1:20-cv-00706 DADEPG. (no reportable action)</w:t>
      </w:r>
    </w:p>
    <w:p w14:paraId="06EE971B" w14:textId="77777777" w:rsidR="00B762D6" w:rsidRDefault="00DB5996">
      <w:pPr>
        <w:numPr>
          <w:ilvl w:val="1"/>
          <w:numId w:val="1"/>
        </w:numPr>
        <w:spacing w:after="3" w:line="259" w:lineRule="auto"/>
        <w:ind w:hanging="365"/>
        <w:jc w:val="left"/>
      </w:pPr>
      <w:r>
        <w:rPr>
          <w:sz w:val="24"/>
        </w:rPr>
        <w:t>CONFERENCE WITH LEGAL COUNSEL - EXISTING LITIGATION</w:t>
      </w:r>
    </w:p>
    <w:p w14:paraId="0A279EB5" w14:textId="77777777" w:rsidR="00B762D6" w:rsidRDefault="00DB5996">
      <w:pPr>
        <w:spacing w:after="168"/>
        <w:ind w:left="1464"/>
      </w:pPr>
      <w:r>
        <w:t>Closed Session pursuant to California Government Code Section 54956.9(d)(1).</w:t>
      </w:r>
    </w:p>
    <w:p w14:paraId="2D004C90" w14:textId="77777777" w:rsidR="00B762D6" w:rsidRDefault="00DB5996">
      <w:pPr>
        <w:ind w:left="1474"/>
      </w:pPr>
      <w:r>
        <w:t>NORTH COAST RIVERS ALLIANCE, CALIFORNIA SPORTSFISHING PROTECTION ALLIANCE, PACIFIC COAST</w:t>
      </w:r>
    </w:p>
    <w:p w14:paraId="7F85FCBC" w14:textId="77777777" w:rsidR="00B762D6" w:rsidRDefault="00DB5996">
      <w:pPr>
        <w:ind w:left="1474"/>
      </w:pPr>
      <w:r>
        <w:t>FEDERATION OF FISHERMEN'S ASSOCIATIONS, SAN FRANCISCO CRAB BOAT OWNERS ASSOCIATION,</w:t>
      </w:r>
    </w:p>
    <w:p w14:paraId="523DC2FD" w14:textId="77777777" w:rsidR="00B762D6" w:rsidRDefault="00DB5996">
      <w:pPr>
        <w:spacing w:after="460"/>
        <w:ind w:left="1455"/>
      </w:pPr>
      <w:r>
        <w:t xml:space="preserve">INC., and INSTITUTE FOR FISHERIES RESOURCES v. UNITED STATES DEPARTMENT OF THE INTERIOR, et al. — United States District Court, Eastern District of California (Case No. 1:16-CV-307 DAD-SKO). (no </w:t>
      </w:r>
      <w:r>
        <w:t>reportable action)</w:t>
      </w:r>
    </w:p>
    <w:p w14:paraId="266E4625" w14:textId="77777777" w:rsidR="00B762D6" w:rsidRDefault="00DB5996">
      <w:pPr>
        <w:spacing w:after="257"/>
        <w:ind w:left="9"/>
      </w:pPr>
      <w:r>
        <w:t>Reports out of Closed Session: none</w:t>
      </w:r>
    </w:p>
    <w:p w14:paraId="6F85B1EF" w14:textId="77777777" w:rsidR="00B762D6" w:rsidRDefault="00DB5996">
      <w:pPr>
        <w:spacing w:after="256"/>
        <w:ind w:left="9"/>
      </w:pPr>
      <w:r>
        <w:t>The Board adjourned at 10:00 am.</w:t>
      </w:r>
    </w:p>
    <w:p w14:paraId="77081C60" w14:textId="77777777" w:rsidR="00B762D6" w:rsidRDefault="00DB5996">
      <w:pPr>
        <w:spacing w:after="276"/>
        <w:ind w:left="9"/>
      </w:pPr>
      <w:r>
        <w:t>The next meeting will be held at 8:30 am on June 19, 2024 at the TID office.</w:t>
      </w:r>
    </w:p>
    <w:tbl>
      <w:tblPr>
        <w:tblStyle w:val="TableGrid"/>
        <w:tblpPr w:vertAnchor="text" w:tblpY="226"/>
        <w:tblOverlap w:val="never"/>
        <w:tblW w:w="3067" w:type="dxa"/>
        <w:tblInd w:w="0" w:type="dxa"/>
        <w:tblCellMar>
          <w:top w:w="0" w:type="dxa"/>
          <w:left w:w="19" w:type="dxa"/>
          <w:bottom w:w="0" w:type="dxa"/>
          <w:right w:w="0" w:type="dxa"/>
        </w:tblCellMar>
        <w:tblLook w:val="04A0" w:firstRow="1" w:lastRow="0" w:firstColumn="1" w:lastColumn="0" w:noHBand="0" w:noVBand="1"/>
      </w:tblPr>
      <w:tblGrid>
        <w:gridCol w:w="797"/>
        <w:gridCol w:w="645"/>
        <w:gridCol w:w="1625"/>
      </w:tblGrid>
      <w:tr w:rsidR="00B762D6" w14:paraId="5E29DB63" w14:textId="77777777">
        <w:trPr>
          <w:trHeight w:val="482"/>
        </w:trPr>
        <w:tc>
          <w:tcPr>
            <w:tcW w:w="797" w:type="dxa"/>
            <w:tcBorders>
              <w:top w:val="nil"/>
              <w:left w:val="nil"/>
              <w:bottom w:val="single" w:sz="2" w:space="0" w:color="000000"/>
              <w:right w:val="single" w:sz="2" w:space="0" w:color="000000"/>
            </w:tcBorders>
          </w:tcPr>
          <w:p w14:paraId="0D358723" w14:textId="77777777" w:rsidR="00B762D6" w:rsidRDefault="00B762D6">
            <w:pPr>
              <w:spacing w:after="160" w:line="259" w:lineRule="auto"/>
              <w:ind w:left="0" w:firstLine="0"/>
              <w:jc w:val="left"/>
            </w:pPr>
          </w:p>
        </w:tc>
        <w:tc>
          <w:tcPr>
            <w:tcW w:w="645" w:type="dxa"/>
            <w:tcBorders>
              <w:top w:val="nil"/>
              <w:left w:val="single" w:sz="2" w:space="0" w:color="000000"/>
              <w:bottom w:val="single" w:sz="2" w:space="0" w:color="000000"/>
              <w:right w:val="nil"/>
            </w:tcBorders>
          </w:tcPr>
          <w:p w14:paraId="598E11B8" w14:textId="77777777" w:rsidR="00B762D6" w:rsidRDefault="00B762D6">
            <w:pPr>
              <w:spacing w:after="160" w:line="259" w:lineRule="auto"/>
              <w:ind w:left="0" w:firstLine="0"/>
              <w:jc w:val="left"/>
            </w:pPr>
          </w:p>
        </w:tc>
        <w:tc>
          <w:tcPr>
            <w:tcW w:w="1624" w:type="dxa"/>
            <w:tcBorders>
              <w:top w:val="nil"/>
              <w:left w:val="nil"/>
              <w:bottom w:val="single" w:sz="2" w:space="0" w:color="000000"/>
              <w:right w:val="nil"/>
            </w:tcBorders>
          </w:tcPr>
          <w:p w14:paraId="3A4AAF0A" w14:textId="77777777" w:rsidR="00B762D6" w:rsidRDefault="00DB5996">
            <w:pPr>
              <w:spacing w:after="0" w:line="259" w:lineRule="auto"/>
              <w:ind w:left="2" w:right="-1" w:firstLine="0"/>
              <w:jc w:val="left"/>
            </w:pPr>
            <w:r>
              <w:rPr>
                <w:noProof/>
              </w:rPr>
              <w:drawing>
                <wp:inline distT="0" distB="0" distL="0" distR="0" wp14:anchorId="061BFF81" wp14:editId="7B25BCB8">
                  <wp:extent cx="1018032" cy="298795"/>
                  <wp:effectExtent l="0" t="0" r="0" b="0"/>
                  <wp:docPr id="4185" name="Picture 4185"/>
                  <wp:cNvGraphicFramePr/>
                  <a:graphic xmlns:a="http://schemas.openxmlformats.org/drawingml/2006/main">
                    <a:graphicData uri="http://schemas.openxmlformats.org/drawingml/2006/picture">
                      <pic:pic xmlns:pic="http://schemas.openxmlformats.org/drawingml/2006/picture">
                        <pic:nvPicPr>
                          <pic:cNvPr id="4185" name="Picture 4185"/>
                          <pic:cNvPicPr/>
                        </pic:nvPicPr>
                        <pic:blipFill>
                          <a:blip r:embed="rId8"/>
                          <a:stretch>
                            <a:fillRect/>
                          </a:stretch>
                        </pic:blipFill>
                        <pic:spPr>
                          <a:xfrm>
                            <a:off x="0" y="0"/>
                            <a:ext cx="1018032" cy="298795"/>
                          </a:xfrm>
                          <a:prstGeom prst="rect">
                            <a:avLst/>
                          </a:prstGeom>
                        </pic:spPr>
                      </pic:pic>
                    </a:graphicData>
                  </a:graphic>
                </wp:inline>
              </w:drawing>
            </w:r>
          </w:p>
        </w:tc>
      </w:tr>
      <w:tr w:rsidR="00B762D6" w14:paraId="1180F3BC" w14:textId="77777777">
        <w:trPr>
          <w:trHeight w:val="550"/>
        </w:trPr>
        <w:tc>
          <w:tcPr>
            <w:tcW w:w="797" w:type="dxa"/>
            <w:tcBorders>
              <w:top w:val="single" w:sz="2" w:space="0" w:color="000000"/>
              <w:left w:val="nil"/>
              <w:bottom w:val="nil"/>
              <w:right w:val="single" w:sz="2" w:space="0" w:color="000000"/>
            </w:tcBorders>
          </w:tcPr>
          <w:p w14:paraId="06D24D1E" w14:textId="77777777" w:rsidR="00B762D6" w:rsidRDefault="00DB5996">
            <w:pPr>
              <w:spacing w:after="0" w:line="259" w:lineRule="auto"/>
              <w:ind w:left="0" w:firstLine="0"/>
            </w:pPr>
            <w:r>
              <w:t xml:space="preserve">Elizabet </w:t>
            </w:r>
          </w:p>
        </w:tc>
        <w:tc>
          <w:tcPr>
            <w:tcW w:w="2269" w:type="dxa"/>
            <w:gridSpan w:val="2"/>
            <w:tcBorders>
              <w:top w:val="single" w:sz="2" w:space="0" w:color="000000"/>
              <w:left w:val="single" w:sz="2" w:space="0" w:color="000000"/>
              <w:bottom w:val="nil"/>
              <w:right w:val="nil"/>
            </w:tcBorders>
          </w:tcPr>
          <w:p w14:paraId="4CE53DCE" w14:textId="77777777" w:rsidR="00B762D6" w:rsidRDefault="00DB5996">
            <w:pPr>
              <w:spacing w:after="0" w:line="259" w:lineRule="auto"/>
              <w:ind w:left="76" w:right="-341" w:firstLine="0"/>
              <w:jc w:val="left"/>
            </w:pPr>
            <w:r>
              <w:t>Reeves, Secretary/Treasurer</w:t>
            </w:r>
          </w:p>
        </w:tc>
      </w:tr>
    </w:tbl>
    <w:p w14:paraId="1B133C5B" w14:textId="77777777" w:rsidR="00B762D6" w:rsidRDefault="00DB5996">
      <w:pPr>
        <w:tabs>
          <w:tab w:val="center" w:pos="7366"/>
        </w:tabs>
        <w:ind w:left="0" w:firstLine="0"/>
        <w:jc w:val="left"/>
      </w:pPr>
      <w:r>
        <w:t xml:space="preserve">Respectfully </w:t>
      </w:r>
      <w:r>
        <w:rPr>
          <w:u w:val="single" w:color="000000"/>
        </w:rPr>
        <w:t>Submi</w:t>
      </w:r>
      <w:r>
        <w:t>tted,</w:t>
      </w:r>
      <w:r>
        <w:tab/>
      </w:r>
      <w:r>
        <w:rPr>
          <w:noProof/>
        </w:rPr>
        <w:drawing>
          <wp:inline distT="0" distB="0" distL="0" distR="0" wp14:anchorId="71C5DC45" wp14:editId="4EA045F7">
            <wp:extent cx="2538984" cy="920775"/>
            <wp:effectExtent l="0" t="0" r="0" b="0"/>
            <wp:docPr id="8019" name="Picture 8019"/>
            <wp:cNvGraphicFramePr/>
            <a:graphic xmlns:a="http://schemas.openxmlformats.org/drawingml/2006/main">
              <a:graphicData uri="http://schemas.openxmlformats.org/drawingml/2006/picture">
                <pic:pic xmlns:pic="http://schemas.openxmlformats.org/drawingml/2006/picture">
                  <pic:nvPicPr>
                    <pic:cNvPr id="8019" name="Picture 8019"/>
                    <pic:cNvPicPr/>
                  </pic:nvPicPr>
                  <pic:blipFill>
                    <a:blip r:embed="rId9"/>
                    <a:stretch>
                      <a:fillRect/>
                    </a:stretch>
                  </pic:blipFill>
                  <pic:spPr>
                    <a:xfrm>
                      <a:off x="0" y="0"/>
                      <a:ext cx="2538984" cy="920775"/>
                    </a:xfrm>
                    <a:prstGeom prst="rect">
                      <a:avLst/>
                    </a:prstGeom>
                  </pic:spPr>
                </pic:pic>
              </a:graphicData>
            </a:graphic>
          </wp:inline>
        </w:drawing>
      </w:r>
    </w:p>
    <w:sectPr w:rsidR="00B762D6">
      <w:type w:val="continuous"/>
      <w:pgSz w:w="12240" w:h="15840"/>
      <w:pgMar w:top="811" w:right="782" w:bottom="899"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25A41"/>
    <w:multiLevelType w:val="hybridMultilevel"/>
    <w:tmpl w:val="6A42C0A8"/>
    <w:lvl w:ilvl="0" w:tplc="8C38CDCE">
      <w:start w:val="1"/>
      <w:numFmt w:val="decimal"/>
      <w:lvlText w:val="%1."/>
      <w:lvlJc w:val="left"/>
      <w:pPr>
        <w:ind w:left="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B6A6AC">
      <w:start w:val="8"/>
      <w:numFmt w:val="decimal"/>
      <w:lvlText w:val="%2."/>
      <w:lvlJc w:val="left"/>
      <w:pPr>
        <w:ind w:left="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12EFE8">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B4360C">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D4ED04">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0E5C2C">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622488">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DE6648">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88C93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3358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D6"/>
    <w:rsid w:val="00A102CE"/>
    <w:rsid w:val="00B762D6"/>
    <w:rsid w:val="00DB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254A"/>
  <w15:docId w15:val="{EDAEC223-C087-44DD-914B-A5E27370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20" w:hanging="5"/>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SKM_C300i24061910250</dc:title>
  <dc:subject/>
  <dc:creator>Emma Almanza</dc:creator>
  <cp:keywords/>
  <cp:lastModifiedBy>Emma Almanza</cp:lastModifiedBy>
  <cp:revision>2</cp:revision>
  <dcterms:created xsi:type="dcterms:W3CDTF">2025-01-14T21:19:00Z</dcterms:created>
  <dcterms:modified xsi:type="dcterms:W3CDTF">2025-01-14T21:19:00Z</dcterms:modified>
</cp:coreProperties>
</file>