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ra, Tranquillity,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41691C5A"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381E19">
        <w:rPr>
          <w:rFonts w:cstheme="minorHAnsi"/>
          <w:b/>
          <w:bCs/>
        </w:rPr>
        <w:t>December 18</w:t>
      </w:r>
      <w:r w:rsidR="00610B58">
        <w:rPr>
          <w:rFonts w:cstheme="minorHAnsi"/>
          <w:b/>
          <w:bCs/>
        </w:rPr>
        <w:t>, 2024</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1E999035"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4DB936F6" w:rsidR="00CD29EE" w:rsidRPr="00CD29EE" w:rsidRDefault="00CD29EE" w:rsidP="00CD29EE">
      <w:pPr>
        <w:pStyle w:val="ListParagraph"/>
        <w:numPr>
          <w:ilvl w:val="0"/>
          <w:numId w:val="1"/>
        </w:numPr>
        <w:spacing w:after="0" w:line="240" w:lineRule="auto"/>
      </w:pPr>
      <w:r>
        <w:t xml:space="preserve">MINUTES for the meeting of </w:t>
      </w:r>
      <w:r w:rsidR="00381E19">
        <w:t>November 20</w:t>
      </w:r>
      <w:r w:rsidR="00A30F83">
        <w:t>, 202</w:t>
      </w:r>
      <w:r w:rsidR="00530F34">
        <w:t>4</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52062819"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381E19">
        <w:t>November</w:t>
      </w:r>
      <w:r w:rsidR="00530F34">
        <w:t xml:space="preserve"> 2024</w:t>
      </w:r>
      <w:r w:rsidR="00ED06E2">
        <w:t>.</w:t>
      </w:r>
    </w:p>
    <w:p w14:paraId="513D1E86" w14:textId="5A78F774" w:rsidR="00381E19" w:rsidRDefault="00381E19" w:rsidP="00A30F83">
      <w:pPr>
        <w:pStyle w:val="ListParagraph"/>
        <w:numPr>
          <w:ilvl w:val="1"/>
          <w:numId w:val="1"/>
        </w:numPr>
        <w:spacing w:after="0" w:line="240" w:lineRule="auto"/>
      </w:pPr>
      <w:r>
        <w:t>401k administrator changes</w:t>
      </w:r>
    </w:p>
    <w:p w14:paraId="297EDD07" w14:textId="77777777" w:rsidR="001B6C7E" w:rsidRPr="004A47B4" w:rsidRDefault="001B6C7E" w:rsidP="001B6C7E">
      <w:pPr>
        <w:pStyle w:val="ListParagraph"/>
        <w:spacing w:after="0" w:line="240" w:lineRule="auto"/>
        <w:ind w:left="1440"/>
      </w:pPr>
    </w:p>
    <w:p w14:paraId="4AAD401A" w14:textId="739C661C"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Tranquillity and TID Fresno Slough property as well as all related maintenance activities completed during </w:t>
      </w:r>
      <w:r w:rsidR="00381E19">
        <w:rPr>
          <w:rFonts w:cstheme="minorHAnsi"/>
        </w:rPr>
        <w:t>November</w:t>
      </w:r>
      <w:r w:rsidR="005F0B18">
        <w:rPr>
          <w:rFonts w:cstheme="minorHAnsi"/>
        </w:rPr>
        <w:t xml:space="preserve"> </w:t>
      </w:r>
      <w:r w:rsidR="00530F34">
        <w:rPr>
          <w:rFonts w:cstheme="minorHAnsi"/>
        </w:rPr>
        <w:t>2024</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215C5FD4" w14:textId="1F7A436A" w:rsidR="00610B58" w:rsidRDefault="00610B58" w:rsidP="00C73745">
      <w:pPr>
        <w:pStyle w:val="ListParagraph"/>
        <w:numPr>
          <w:ilvl w:val="0"/>
          <w:numId w:val="1"/>
        </w:numPr>
        <w:spacing w:after="0" w:line="240" w:lineRule="auto"/>
      </w:pPr>
      <w:r>
        <w:t>New Business/Action Items</w:t>
      </w:r>
    </w:p>
    <w:p w14:paraId="21001382" w14:textId="472BEE9D" w:rsidR="00381E19" w:rsidRPr="00381E19" w:rsidRDefault="00381E19" w:rsidP="00381E19">
      <w:pPr>
        <w:pStyle w:val="ListParagraph"/>
        <w:numPr>
          <w:ilvl w:val="1"/>
          <w:numId w:val="1"/>
        </w:numPr>
        <w:spacing w:after="0" w:line="240" w:lineRule="auto"/>
        <w:rPr>
          <w:rFonts w:eastAsia="Times New Roman"/>
        </w:rPr>
      </w:pPr>
      <w:r w:rsidRPr="00381E19">
        <w:rPr>
          <w:rFonts w:eastAsia="Times New Roman"/>
        </w:rPr>
        <w:t xml:space="preserve">Take action to authorize the execution of the letter of agreement to extend the negotiation period for one year under the James ID &amp; Tranquillity ID Agreement </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277FB3A7" w:rsidR="0022229E" w:rsidRDefault="002757DD" w:rsidP="00BF4733">
      <w:pPr>
        <w:pStyle w:val="ListParagraph"/>
        <w:numPr>
          <w:ilvl w:val="1"/>
          <w:numId w:val="1"/>
        </w:numPr>
        <w:spacing w:after="0" w:line="240" w:lineRule="auto"/>
      </w:pPr>
      <w:r>
        <w:t>202</w:t>
      </w:r>
      <w:r w:rsidR="003D7556">
        <w:t>4</w:t>
      </w:r>
      <w:r>
        <w:t xml:space="preserve"> Water Schedule Tracking</w:t>
      </w:r>
    </w:p>
    <w:p w14:paraId="01E028EF" w14:textId="24B752B2" w:rsidR="00964DB8" w:rsidRDefault="00087CDC" w:rsidP="00BF4733">
      <w:pPr>
        <w:pStyle w:val="ListParagraph"/>
        <w:numPr>
          <w:ilvl w:val="1"/>
          <w:numId w:val="1"/>
        </w:numPr>
        <w:spacing w:after="0" w:line="240" w:lineRule="auto"/>
      </w:pPr>
      <w:r>
        <w:t xml:space="preserve">2024 </w:t>
      </w:r>
      <w:r w:rsidR="005E239D">
        <w:t>Revised Schedul</w:t>
      </w:r>
      <w:r>
        <w:t>e</w:t>
      </w:r>
    </w:p>
    <w:p w14:paraId="332D3464" w14:textId="530F2C51" w:rsidR="00857198" w:rsidRDefault="00857198" w:rsidP="00265699">
      <w:pPr>
        <w:pStyle w:val="ListParagraph"/>
        <w:numPr>
          <w:ilvl w:val="1"/>
          <w:numId w:val="1"/>
        </w:numPr>
        <w:spacing w:after="0" w:line="240" w:lineRule="auto"/>
      </w:pPr>
      <w:r>
        <w:t>2025 Revised Schedule TID &amp; FSWD</w:t>
      </w:r>
    </w:p>
    <w:p w14:paraId="507AEF56" w14:textId="41EB69A9" w:rsidR="000E4436" w:rsidRDefault="000E4436" w:rsidP="00265699">
      <w:pPr>
        <w:pStyle w:val="ListParagraph"/>
        <w:numPr>
          <w:ilvl w:val="1"/>
          <w:numId w:val="1"/>
        </w:numPr>
        <w:spacing w:after="0" w:line="240" w:lineRule="auto"/>
      </w:pPr>
      <w:r>
        <w:t>Reservoir</w:t>
      </w:r>
      <w:r w:rsidR="003053F1">
        <w:t>s – TID &amp; FSWD</w:t>
      </w:r>
    </w:p>
    <w:p w14:paraId="03708168" w14:textId="0823F00D" w:rsidR="003053F1" w:rsidRDefault="003053F1" w:rsidP="00265699">
      <w:pPr>
        <w:pStyle w:val="ListParagraph"/>
        <w:numPr>
          <w:ilvl w:val="1"/>
          <w:numId w:val="1"/>
        </w:numPr>
        <w:spacing w:after="0" w:line="240" w:lineRule="auto"/>
      </w:pPr>
      <w:r>
        <w:lastRenderedPageBreak/>
        <w:t>2025 Fixed Term Employees</w:t>
      </w:r>
    </w:p>
    <w:p w14:paraId="65BCE748" w14:textId="401586BD" w:rsidR="00857198" w:rsidRDefault="00857198" w:rsidP="00265699">
      <w:pPr>
        <w:pStyle w:val="ListParagraph"/>
        <w:numPr>
          <w:ilvl w:val="1"/>
          <w:numId w:val="1"/>
        </w:numPr>
        <w:spacing w:after="0" w:line="240" w:lineRule="auto"/>
      </w:pPr>
      <w:r>
        <w:t>2025 Budget for Approval – Resolution</w:t>
      </w:r>
      <w:r w:rsidR="000C6452">
        <w:t xml:space="preserve"> 2025-01 Adopting the Budget, Irrigation Water Rates, and Service Fees for the 2025 Water Year</w:t>
      </w:r>
      <w:r>
        <w:t xml:space="preserve"> </w:t>
      </w:r>
    </w:p>
    <w:p w14:paraId="450AAF6B" w14:textId="3FA2BB32" w:rsidR="005B1C38" w:rsidRDefault="000C6452" w:rsidP="00265699">
      <w:pPr>
        <w:pStyle w:val="ListParagraph"/>
        <w:numPr>
          <w:ilvl w:val="1"/>
          <w:numId w:val="1"/>
        </w:numPr>
        <w:spacing w:after="0" w:line="240" w:lineRule="auto"/>
      </w:pPr>
      <w:r>
        <w:t>Office Closing &amp; Holidays</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Name of case: Center for Biological Diversity, Restore the Delta, and Planning and Conservation League v. United States Bureau of Reclamation, Tranquillity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lastRenderedPageBreak/>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Materials related to an item on this agenda that are public documents and are submitted after distribution and posting of the agenda are available for public inspection in the District's office at 25390 W. Silveira Street, Tranquillity,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087CD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87CDC"/>
    <w:rsid w:val="000A67B1"/>
    <w:rsid w:val="000C6452"/>
    <w:rsid w:val="000C6D5D"/>
    <w:rsid w:val="000E25CE"/>
    <w:rsid w:val="000E41B5"/>
    <w:rsid w:val="000E4436"/>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65699"/>
    <w:rsid w:val="002757DD"/>
    <w:rsid w:val="002914B7"/>
    <w:rsid w:val="002934AE"/>
    <w:rsid w:val="002A29AF"/>
    <w:rsid w:val="002A57DA"/>
    <w:rsid w:val="002A73D2"/>
    <w:rsid w:val="002B306F"/>
    <w:rsid w:val="002B578B"/>
    <w:rsid w:val="002C7096"/>
    <w:rsid w:val="002D21CB"/>
    <w:rsid w:val="003022EB"/>
    <w:rsid w:val="003053F1"/>
    <w:rsid w:val="00323CF8"/>
    <w:rsid w:val="00325181"/>
    <w:rsid w:val="003257C3"/>
    <w:rsid w:val="00335DD1"/>
    <w:rsid w:val="00343104"/>
    <w:rsid w:val="00381E19"/>
    <w:rsid w:val="00391A79"/>
    <w:rsid w:val="00394532"/>
    <w:rsid w:val="00396AC1"/>
    <w:rsid w:val="003A092B"/>
    <w:rsid w:val="003A69BA"/>
    <w:rsid w:val="003A6BF2"/>
    <w:rsid w:val="003A7132"/>
    <w:rsid w:val="003B246B"/>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B9D"/>
    <w:rsid w:val="004E4C98"/>
    <w:rsid w:val="0051565C"/>
    <w:rsid w:val="00515CAD"/>
    <w:rsid w:val="00524AB1"/>
    <w:rsid w:val="005251D8"/>
    <w:rsid w:val="00530F34"/>
    <w:rsid w:val="00531133"/>
    <w:rsid w:val="005359A3"/>
    <w:rsid w:val="005360FE"/>
    <w:rsid w:val="00542DC0"/>
    <w:rsid w:val="00551CD6"/>
    <w:rsid w:val="005700DB"/>
    <w:rsid w:val="005745C3"/>
    <w:rsid w:val="00574CFC"/>
    <w:rsid w:val="00575087"/>
    <w:rsid w:val="0058643C"/>
    <w:rsid w:val="00586478"/>
    <w:rsid w:val="0058731F"/>
    <w:rsid w:val="00590711"/>
    <w:rsid w:val="005929C5"/>
    <w:rsid w:val="005B098E"/>
    <w:rsid w:val="005B1B71"/>
    <w:rsid w:val="005B1C38"/>
    <w:rsid w:val="005B4EC9"/>
    <w:rsid w:val="005C28E5"/>
    <w:rsid w:val="005D37EF"/>
    <w:rsid w:val="005D427E"/>
    <w:rsid w:val="005D61B5"/>
    <w:rsid w:val="005D691E"/>
    <w:rsid w:val="005D7708"/>
    <w:rsid w:val="005E239D"/>
    <w:rsid w:val="005E2AC3"/>
    <w:rsid w:val="005F0894"/>
    <w:rsid w:val="005F0B18"/>
    <w:rsid w:val="005F25CF"/>
    <w:rsid w:val="005F667B"/>
    <w:rsid w:val="006031D1"/>
    <w:rsid w:val="00610B58"/>
    <w:rsid w:val="006154A5"/>
    <w:rsid w:val="00665514"/>
    <w:rsid w:val="00666039"/>
    <w:rsid w:val="006702B1"/>
    <w:rsid w:val="0067155F"/>
    <w:rsid w:val="006721E1"/>
    <w:rsid w:val="00673322"/>
    <w:rsid w:val="006843B7"/>
    <w:rsid w:val="0068636E"/>
    <w:rsid w:val="00690B36"/>
    <w:rsid w:val="00697340"/>
    <w:rsid w:val="006A01DD"/>
    <w:rsid w:val="006B7B96"/>
    <w:rsid w:val="006C6B96"/>
    <w:rsid w:val="006D24F9"/>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198"/>
    <w:rsid w:val="00857344"/>
    <w:rsid w:val="00861883"/>
    <w:rsid w:val="00862056"/>
    <w:rsid w:val="00882B35"/>
    <w:rsid w:val="008875A6"/>
    <w:rsid w:val="00891219"/>
    <w:rsid w:val="00896140"/>
    <w:rsid w:val="008A4C03"/>
    <w:rsid w:val="008B2880"/>
    <w:rsid w:val="008C599C"/>
    <w:rsid w:val="008D50D4"/>
    <w:rsid w:val="008E2D95"/>
    <w:rsid w:val="008F086D"/>
    <w:rsid w:val="0090093C"/>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DF6305"/>
    <w:rsid w:val="00E00084"/>
    <w:rsid w:val="00E16560"/>
    <w:rsid w:val="00E34C00"/>
    <w:rsid w:val="00E36A2C"/>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60C7"/>
    <w:rsid w:val="00F01CE2"/>
    <w:rsid w:val="00F04F0D"/>
    <w:rsid w:val="00F125A9"/>
    <w:rsid w:val="00F27639"/>
    <w:rsid w:val="00F31628"/>
    <w:rsid w:val="00F35A68"/>
    <w:rsid w:val="00F408AB"/>
    <w:rsid w:val="00F46DEB"/>
    <w:rsid w:val="00F47648"/>
    <w:rsid w:val="00F55871"/>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5</cp:revision>
  <cp:lastPrinted>2023-09-14T15:26:00Z</cp:lastPrinted>
  <dcterms:created xsi:type="dcterms:W3CDTF">2024-12-11T19:20:00Z</dcterms:created>
  <dcterms:modified xsi:type="dcterms:W3CDTF">2024-12-12T15:19:00Z</dcterms:modified>
</cp:coreProperties>
</file>