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C62F" w14:textId="0899BB8B" w:rsidR="00087B03" w:rsidRPr="00617689" w:rsidRDefault="00087B03" w:rsidP="009D71C6">
      <w:pPr>
        <w:widowControl w:val="0"/>
        <w:ind w:right="360"/>
        <w:jc w:val="center"/>
        <w:rPr>
          <w:rFonts w:ascii="Arial" w:hAnsi="Arial" w:cs="Arial"/>
          <w:b/>
          <w:bCs/>
        </w:rPr>
      </w:pPr>
      <w:r w:rsidRPr="00617689">
        <w:rPr>
          <w:rFonts w:ascii="Arial" w:hAnsi="Arial" w:cs="Arial"/>
          <w:b/>
          <w:bCs/>
        </w:rPr>
        <w:t>NOTICE OF CITY WATER &amp; PROPERTY ASSESSMENT RATE INCREASE</w:t>
      </w:r>
    </w:p>
    <w:p w14:paraId="7D1AFF1E" w14:textId="77777777" w:rsidR="00087B03" w:rsidRPr="00617689" w:rsidRDefault="00087B03" w:rsidP="009D71C6">
      <w:pPr>
        <w:widowControl w:val="0"/>
        <w:ind w:left="270" w:right="360"/>
        <w:jc w:val="center"/>
        <w:rPr>
          <w:rFonts w:ascii="Arial" w:hAnsi="Arial" w:cs="Arial"/>
          <w:b/>
          <w:bCs/>
        </w:rPr>
      </w:pPr>
    </w:p>
    <w:p w14:paraId="0FBA2075" w14:textId="77777777" w:rsidR="00087B03" w:rsidRPr="00617689" w:rsidRDefault="00087B03" w:rsidP="009D71C6">
      <w:pPr>
        <w:widowControl w:val="0"/>
        <w:ind w:left="270" w:right="360"/>
        <w:jc w:val="center"/>
        <w:rPr>
          <w:rFonts w:ascii="Arial" w:hAnsi="Arial" w:cs="Arial"/>
          <w:b/>
          <w:bCs/>
        </w:rPr>
      </w:pPr>
      <w:r w:rsidRPr="00617689">
        <w:rPr>
          <w:rFonts w:ascii="Arial" w:hAnsi="Arial" w:cs="Arial"/>
          <w:b/>
          <w:bCs/>
        </w:rPr>
        <w:t>EFFECTIVE JANUARY 1,</w:t>
      </w:r>
      <w:r w:rsidRPr="00617689">
        <w:rPr>
          <w:rFonts w:ascii="Arial" w:hAnsi="Arial" w:cs="Arial"/>
          <w:b/>
          <w:bCs/>
          <w:vertAlign w:val="superscript"/>
        </w:rPr>
        <w:t xml:space="preserve"> </w:t>
      </w:r>
      <w:r w:rsidRPr="00617689">
        <w:rPr>
          <w:rFonts w:ascii="Arial" w:hAnsi="Arial" w:cs="Arial"/>
          <w:b/>
          <w:bCs/>
        </w:rPr>
        <w:t>2022</w:t>
      </w:r>
    </w:p>
    <w:p w14:paraId="466FFD5C" w14:textId="77777777" w:rsidR="00087B03" w:rsidRPr="00617689" w:rsidRDefault="00087B03" w:rsidP="004A3230">
      <w:pPr>
        <w:widowControl w:val="0"/>
        <w:ind w:right="360"/>
        <w:jc w:val="both"/>
        <w:rPr>
          <w:rFonts w:ascii="Arial" w:hAnsi="Arial" w:cs="Arial"/>
        </w:rPr>
      </w:pPr>
    </w:p>
    <w:p w14:paraId="3D07B3F3" w14:textId="77777777" w:rsidR="004B292A" w:rsidRPr="00617689" w:rsidRDefault="004B292A" w:rsidP="004A3230">
      <w:pPr>
        <w:widowControl w:val="0"/>
        <w:ind w:right="360"/>
        <w:jc w:val="both"/>
        <w:rPr>
          <w:rFonts w:ascii="Arial" w:hAnsi="Arial" w:cs="Arial"/>
        </w:rPr>
      </w:pPr>
      <w:r w:rsidRPr="00617689">
        <w:rPr>
          <w:rFonts w:ascii="Arial" w:hAnsi="Arial" w:cs="Arial"/>
        </w:rPr>
        <w:t>We wish to inform you that t</w:t>
      </w:r>
      <w:r w:rsidR="00DE2690" w:rsidRPr="00617689">
        <w:rPr>
          <w:rFonts w:ascii="Arial" w:hAnsi="Arial" w:cs="Arial"/>
        </w:rPr>
        <w:t>he</w:t>
      </w:r>
      <w:r w:rsidRPr="00617689">
        <w:rPr>
          <w:rFonts w:ascii="Arial" w:hAnsi="Arial" w:cs="Arial"/>
        </w:rPr>
        <w:t xml:space="preserve"> city</w:t>
      </w:r>
      <w:r w:rsidR="00DE2690" w:rsidRPr="00617689">
        <w:rPr>
          <w:rFonts w:ascii="Arial" w:hAnsi="Arial" w:cs="Arial"/>
        </w:rPr>
        <w:t xml:space="preserve"> water and property assessment rates for the </w:t>
      </w:r>
      <w:proofErr w:type="spellStart"/>
      <w:r w:rsidR="00DE2690" w:rsidRPr="00617689">
        <w:rPr>
          <w:rFonts w:ascii="Arial" w:hAnsi="Arial" w:cs="Arial"/>
        </w:rPr>
        <w:t>Tranquillity</w:t>
      </w:r>
      <w:proofErr w:type="spellEnd"/>
      <w:r w:rsidR="00DE2690" w:rsidRPr="00617689">
        <w:rPr>
          <w:rFonts w:ascii="Arial" w:hAnsi="Arial" w:cs="Arial"/>
        </w:rPr>
        <w:t xml:space="preserve"> Irrigation District will increase as of January 1, 2022</w:t>
      </w:r>
      <w:r w:rsidRPr="00617689">
        <w:rPr>
          <w:rFonts w:ascii="Arial" w:hAnsi="Arial" w:cs="Arial"/>
        </w:rPr>
        <w:t xml:space="preserve">. </w:t>
      </w:r>
      <w:r w:rsidR="00DE2690" w:rsidRPr="00617689">
        <w:rPr>
          <w:rFonts w:ascii="Arial" w:hAnsi="Arial" w:cs="Arial"/>
        </w:rPr>
        <w:t>The city w</w:t>
      </w:r>
      <w:r w:rsidR="00175260" w:rsidRPr="00617689">
        <w:rPr>
          <w:rFonts w:ascii="Arial" w:hAnsi="Arial" w:cs="Arial"/>
        </w:rPr>
        <w:t xml:space="preserve">ater and property assessment increase, which was approved by </w:t>
      </w:r>
      <w:proofErr w:type="spellStart"/>
      <w:r w:rsidR="00175260" w:rsidRPr="00617689">
        <w:rPr>
          <w:rFonts w:ascii="Arial" w:hAnsi="Arial" w:cs="Arial"/>
        </w:rPr>
        <w:t>Tranquillity</w:t>
      </w:r>
      <w:proofErr w:type="spellEnd"/>
      <w:r w:rsidR="00175260" w:rsidRPr="00617689">
        <w:rPr>
          <w:rFonts w:ascii="Arial" w:hAnsi="Arial" w:cs="Arial"/>
        </w:rPr>
        <w:t xml:space="preserve"> Irrigation District Board of Directors in October 2019</w:t>
      </w:r>
      <w:r w:rsidRPr="00617689">
        <w:rPr>
          <w:rFonts w:ascii="Arial" w:hAnsi="Arial" w:cs="Arial"/>
        </w:rPr>
        <w:t>,</w:t>
      </w:r>
      <w:r w:rsidR="00175260" w:rsidRPr="00617689">
        <w:rPr>
          <w:rFonts w:ascii="Arial" w:hAnsi="Arial" w:cs="Arial"/>
        </w:rPr>
        <w:t xml:space="preserve"> will fund the basis to recover the costs of pumping, treating and delivering municipal water to about 330± connections.</w:t>
      </w:r>
      <w:r w:rsidRPr="00617689">
        <w:rPr>
          <w:rFonts w:ascii="Arial" w:hAnsi="Arial" w:cs="Arial"/>
        </w:rPr>
        <w:t xml:space="preserve"> The a</w:t>
      </w:r>
      <w:r w:rsidR="00175260" w:rsidRPr="00617689">
        <w:rPr>
          <w:rFonts w:ascii="Arial" w:hAnsi="Arial" w:cs="Arial"/>
        </w:rPr>
        <w:t>ssessment</w:t>
      </w:r>
      <w:r w:rsidRPr="00617689">
        <w:rPr>
          <w:rFonts w:ascii="Arial" w:hAnsi="Arial" w:cs="Arial"/>
        </w:rPr>
        <w:t>s are</w:t>
      </w:r>
      <w:r w:rsidR="00175260" w:rsidRPr="00617689">
        <w:rPr>
          <w:rFonts w:ascii="Arial" w:hAnsi="Arial" w:cs="Arial"/>
        </w:rPr>
        <w:t xml:space="preserve"> </w:t>
      </w:r>
      <w:r w:rsidRPr="00617689">
        <w:rPr>
          <w:rFonts w:ascii="Arial" w:hAnsi="Arial" w:cs="Arial"/>
        </w:rPr>
        <w:t>l</w:t>
      </w:r>
      <w:r w:rsidR="00175260" w:rsidRPr="00617689">
        <w:rPr>
          <w:rFonts w:ascii="Arial" w:hAnsi="Arial" w:cs="Arial"/>
        </w:rPr>
        <w:t xml:space="preserve">evied on a per-acre basis to recover the fixed costs of operating the </w:t>
      </w:r>
      <w:proofErr w:type="gramStart"/>
      <w:r w:rsidR="00175260" w:rsidRPr="00617689">
        <w:rPr>
          <w:rFonts w:ascii="Arial" w:hAnsi="Arial" w:cs="Arial"/>
        </w:rPr>
        <w:t>District</w:t>
      </w:r>
      <w:proofErr w:type="gramEnd"/>
      <w:r w:rsidR="00175260" w:rsidRPr="00617689">
        <w:rPr>
          <w:rFonts w:ascii="Arial" w:hAnsi="Arial" w:cs="Arial"/>
        </w:rPr>
        <w:t xml:space="preserve">. These </w:t>
      </w:r>
    </w:p>
    <w:p w14:paraId="0C137E44" w14:textId="6B8F41D3" w:rsidR="002D139B" w:rsidRPr="00617689" w:rsidRDefault="00175260" w:rsidP="004A3230">
      <w:pPr>
        <w:widowControl w:val="0"/>
        <w:ind w:right="360"/>
        <w:jc w:val="both"/>
        <w:rPr>
          <w:rFonts w:ascii="Arial" w:hAnsi="Arial" w:cs="Arial"/>
        </w:rPr>
      </w:pPr>
      <w:r w:rsidRPr="00617689">
        <w:rPr>
          <w:rFonts w:ascii="Arial" w:hAnsi="Arial" w:cs="Arial"/>
        </w:rPr>
        <w:t>are the costs that occur regardless of irrigation or municipal water deliveries.</w:t>
      </w:r>
    </w:p>
    <w:p w14:paraId="1B7209DD" w14:textId="77777777" w:rsidR="004B292A" w:rsidRPr="00617689" w:rsidRDefault="004B292A" w:rsidP="004A3230">
      <w:pPr>
        <w:widowControl w:val="0"/>
        <w:ind w:right="360"/>
        <w:jc w:val="both"/>
        <w:rPr>
          <w:rFonts w:ascii="Arial" w:hAnsi="Arial" w:cs="Arial"/>
        </w:rPr>
      </w:pPr>
    </w:p>
    <w:p w14:paraId="1AE42F0E" w14:textId="4B126323" w:rsidR="004B292A" w:rsidRPr="00617689" w:rsidRDefault="004B292A" w:rsidP="004A3230">
      <w:pPr>
        <w:widowControl w:val="0"/>
        <w:ind w:right="360"/>
        <w:jc w:val="both"/>
        <w:rPr>
          <w:rFonts w:ascii="Arial" w:hAnsi="Arial" w:cs="Arial"/>
        </w:rPr>
      </w:pPr>
      <w:r w:rsidRPr="00617689">
        <w:rPr>
          <w:rFonts w:ascii="Arial" w:hAnsi="Arial" w:cs="Arial"/>
        </w:rPr>
        <w:t>Below is the rate structure:</w:t>
      </w:r>
    </w:p>
    <w:p w14:paraId="202F1D4D" w14:textId="77777777" w:rsidR="004B292A" w:rsidRPr="00617689" w:rsidRDefault="004B292A" w:rsidP="004A3230">
      <w:pPr>
        <w:widowControl w:val="0"/>
        <w:ind w:right="360"/>
        <w:jc w:val="both"/>
        <w:rPr>
          <w:rFonts w:ascii="Arial" w:hAnsi="Arial" w:cs="Arial"/>
        </w:rPr>
      </w:pPr>
    </w:p>
    <w:p w14:paraId="45C3C045" w14:textId="77777777" w:rsidR="00827D05" w:rsidRPr="00617689" w:rsidRDefault="00827D05" w:rsidP="008E72E6">
      <w:pPr>
        <w:widowControl w:val="0"/>
        <w:ind w:left="270" w:right="360"/>
        <w:jc w:val="both"/>
        <w:rPr>
          <w:rFonts w:ascii="Arial" w:hAnsi="Arial" w:cs="Arial"/>
        </w:rPr>
      </w:pPr>
    </w:p>
    <w:p w14:paraId="75E63D95" w14:textId="77777777" w:rsidR="00175260" w:rsidRPr="00617689" w:rsidRDefault="00175260" w:rsidP="008E72E6">
      <w:pPr>
        <w:widowControl w:val="0"/>
        <w:ind w:left="270" w:right="36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276"/>
        <w:gridCol w:w="2214"/>
        <w:gridCol w:w="2284"/>
      </w:tblGrid>
      <w:tr w:rsidR="00827D05" w:rsidRPr="00617689" w14:paraId="680230DA" w14:textId="77777777" w:rsidTr="009D71C6">
        <w:tc>
          <w:tcPr>
            <w:tcW w:w="2306" w:type="dxa"/>
            <w:tcBorders>
              <w:bottom w:val="single" w:sz="4" w:space="0" w:color="auto"/>
            </w:tcBorders>
          </w:tcPr>
          <w:p w14:paraId="0853A5A7" w14:textId="7E4374E2" w:rsidR="00175260" w:rsidRPr="00617689" w:rsidRDefault="00175260" w:rsidP="00A84387">
            <w:pPr>
              <w:widowControl w:val="0"/>
              <w:ind w:righ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689">
              <w:rPr>
                <w:rFonts w:ascii="Arial" w:hAnsi="Arial" w:cs="Arial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14:paraId="0C06A740" w14:textId="2BF4B73B" w:rsidR="00175260" w:rsidRPr="00617689" w:rsidRDefault="00175260" w:rsidP="00A84387">
            <w:pPr>
              <w:widowControl w:val="0"/>
              <w:ind w:righ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689">
              <w:rPr>
                <w:rFonts w:ascii="Arial" w:hAnsi="Arial" w:cs="Arial"/>
                <w:b/>
                <w:bCs/>
                <w:sz w:val="20"/>
                <w:szCs w:val="20"/>
              </w:rPr>
              <w:t>CURRENT RATE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764B02D6" w14:textId="4F3D6A72" w:rsidR="00175260" w:rsidRPr="00617689" w:rsidRDefault="00175260" w:rsidP="00A84387">
            <w:pPr>
              <w:widowControl w:val="0"/>
              <w:ind w:righ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689">
              <w:rPr>
                <w:rFonts w:ascii="Arial" w:hAnsi="Arial" w:cs="Arial"/>
                <w:b/>
                <w:bCs/>
                <w:sz w:val="20"/>
                <w:szCs w:val="20"/>
              </w:rPr>
              <w:t>NEW RATE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14:paraId="36B8BB9C" w14:textId="23AE4347" w:rsidR="00175260" w:rsidRPr="00617689" w:rsidRDefault="00175260" w:rsidP="00A84387">
            <w:pPr>
              <w:widowControl w:val="0"/>
              <w:ind w:righ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689">
              <w:rPr>
                <w:rFonts w:ascii="Arial" w:hAnsi="Arial" w:cs="Arial"/>
                <w:b/>
                <w:bCs/>
                <w:sz w:val="20"/>
                <w:szCs w:val="20"/>
              </w:rPr>
              <w:t>TOTAL INCREASE</w:t>
            </w:r>
          </w:p>
        </w:tc>
      </w:tr>
      <w:tr w:rsidR="00827D05" w:rsidRPr="00617689" w14:paraId="6F08341C" w14:textId="77777777" w:rsidTr="009D71C6">
        <w:trPr>
          <w:trHeight w:val="935"/>
        </w:trPr>
        <w:tc>
          <w:tcPr>
            <w:tcW w:w="2306" w:type="dxa"/>
            <w:tcBorders>
              <w:top w:val="single" w:sz="4" w:space="0" w:color="auto"/>
            </w:tcBorders>
          </w:tcPr>
          <w:p w14:paraId="22E11134" w14:textId="77777777" w:rsidR="00827D05" w:rsidRPr="00617689" w:rsidRDefault="00827D05" w:rsidP="00A84387">
            <w:pPr>
              <w:widowControl w:val="0"/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195C2E" w14:textId="77777777" w:rsidR="00175260" w:rsidRPr="00617689" w:rsidRDefault="00175260" w:rsidP="00A84387">
            <w:pPr>
              <w:widowControl w:val="0"/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689">
              <w:rPr>
                <w:rFonts w:ascii="Arial" w:hAnsi="Arial" w:cs="Arial"/>
                <w:sz w:val="16"/>
                <w:szCs w:val="16"/>
              </w:rPr>
              <w:t>CITY WATER</w:t>
            </w:r>
          </w:p>
          <w:p w14:paraId="0FA8E1D9" w14:textId="77777777" w:rsidR="00087B03" w:rsidRPr="00617689" w:rsidRDefault="00087B03" w:rsidP="00A84387">
            <w:pPr>
              <w:widowControl w:val="0"/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190B97" w14:textId="3933EDDA" w:rsidR="00087B03" w:rsidRPr="00617689" w:rsidRDefault="00087B03" w:rsidP="004B292A">
            <w:pPr>
              <w:widowControl w:val="0"/>
              <w:ind w:righ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</w:tcBorders>
          </w:tcPr>
          <w:p w14:paraId="55104F0E" w14:textId="77777777" w:rsidR="00827D05" w:rsidRPr="00617689" w:rsidRDefault="00827D05" w:rsidP="00A84387">
            <w:pPr>
              <w:widowControl w:val="0"/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DE6503" w14:textId="643EB771" w:rsidR="00175260" w:rsidRPr="00617689" w:rsidRDefault="00175260" w:rsidP="00A84387">
            <w:pPr>
              <w:widowControl w:val="0"/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689">
              <w:rPr>
                <w:rFonts w:ascii="Arial" w:hAnsi="Arial" w:cs="Arial"/>
                <w:sz w:val="16"/>
                <w:szCs w:val="16"/>
              </w:rPr>
              <w:t>$45.00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16C4F03E" w14:textId="77777777" w:rsidR="00827D05" w:rsidRPr="00617689" w:rsidRDefault="00827D05" w:rsidP="00A84387">
            <w:pPr>
              <w:widowControl w:val="0"/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D61708" w14:textId="10E75C19" w:rsidR="00175260" w:rsidRPr="00617689" w:rsidRDefault="00827D05" w:rsidP="00A84387">
            <w:pPr>
              <w:widowControl w:val="0"/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689">
              <w:rPr>
                <w:rFonts w:ascii="Arial" w:hAnsi="Arial" w:cs="Arial"/>
                <w:sz w:val="16"/>
                <w:szCs w:val="16"/>
              </w:rPr>
              <w:t>$50.00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14:paraId="0F517C5A" w14:textId="77777777" w:rsidR="00827D05" w:rsidRPr="00617689" w:rsidRDefault="00827D05" w:rsidP="00A84387">
            <w:pPr>
              <w:widowControl w:val="0"/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3E59CF" w14:textId="1C41471A" w:rsidR="00175260" w:rsidRPr="00617689" w:rsidRDefault="00827D05" w:rsidP="00A84387">
            <w:pPr>
              <w:widowControl w:val="0"/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689">
              <w:rPr>
                <w:rFonts w:ascii="Arial" w:hAnsi="Arial" w:cs="Arial"/>
                <w:sz w:val="16"/>
                <w:szCs w:val="16"/>
              </w:rPr>
              <w:t>$5.00</w:t>
            </w:r>
          </w:p>
        </w:tc>
      </w:tr>
      <w:tr w:rsidR="004B292A" w:rsidRPr="00617689" w14:paraId="5B46815D" w14:textId="77777777" w:rsidTr="009D71C6">
        <w:tc>
          <w:tcPr>
            <w:tcW w:w="9080" w:type="dxa"/>
            <w:gridSpan w:val="4"/>
          </w:tcPr>
          <w:p w14:paraId="5072B2E9" w14:textId="748B4068" w:rsidR="004B292A" w:rsidRPr="00617689" w:rsidRDefault="004B292A" w:rsidP="00A84387">
            <w:pPr>
              <w:widowControl w:val="0"/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689">
              <w:rPr>
                <w:rFonts w:ascii="Arial" w:hAnsi="Arial" w:cs="Arial"/>
                <w:sz w:val="16"/>
                <w:szCs w:val="16"/>
                <w:highlight w:val="yellow"/>
              </w:rPr>
              <w:t>Changes</w:t>
            </w:r>
            <w:r w:rsidRPr="00617689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for city water</w:t>
            </w:r>
            <w:r w:rsidRPr="00617689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go into effect 1/1/2022</w:t>
            </w:r>
          </w:p>
        </w:tc>
      </w:tr>
      <w:tr w:rsidR="004A3230" w:rsidRPr="00617689" w14:paraId="62AA0D5F" w14:textId="77777777" w:rsidTr="009D71C6">
        <w:trPr>
          <w:trHeight w:val="70"/>
        </w:trPr>
        <w:tc>
          <w:tcPr>
            <w:tcW w:w="2306" w:type="dxa"/>
          </w:tcPr>
          <w:p w14:paraId="3BA5D73B" w14:textId="77777777" w:rsidR="00827D05" w:rsidRPr="00617689" w:rsidRDefault="00827D05" w:rsidP="00A84387">
            <w:pPr>
              <w:widowControl w:val="0"/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F9CAD2" w14:textId="77777777" w:rsidR="00827D05" w:rsidRPr="00617689" w:rsidRDefault="00827D05" w:rsidP="00A84387">
            <w:pPr>
              <w:widowControl w:val="0"/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F2554A" w14:textId="77777777" w:rsidR="00175260" w:rsidRPr="00617689" w:rsidRDefault="00827D05" w:rsidP="00A84387">
            <w:pPr>
              <w:widowControl w:val="0"/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689">
              <w:rPr>
                <w:rFonts w:ascii="Arial" w:hAnsi="Arial" w:cs="Arial"/>
                <w:sz w:val="16"/>
                <w:szCs w:val="16"/>
              </w:rPr>
              <w:t>PROPERTY ASSESSMENTS</w:t>
            </w:r>
          </w:p>
          <w:p w14:paraId="28C4152D" w14:textId="1BEEF323" w:rsidR="004B292A" w:rsidRPr="00617689" w:rsidRDefault="004B292A" w:rsidP="00A84387">
            <w:pPr>
              <w:widowControl w:val="0"/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</w:tcPr>
          <w:p w14:paraId="6BD0D099" w14:textId="51999200" w:rsidR="00827D05" w:rsidRPr="00617689" w:rsidRDefault="00827D05" w:rsidP="00A84387">
            <w:pPr>
              <w:widowControl w:val="0"/>
              <w:ind w:right="360"/>
              <w:rPr>
                <w:rFonts w:ascii="Arial" w:hAnsi="Arial" w:cs="Arial"/>
                <w:sz w:val="16"/>
                <w:szCs w:val="16"/>
              </w:rPr>
            </w:pPr>
          </w:p>
          <w:p w14:paraId="480F91A3" w14:textId="77777777" w:rsidR="00827D05" w:rsidRPr="00617689" w:rsidRDefault="00827D05" w:rsidP="00A84387">
            <w:pPr>
              <w:widowControl w:val="0"/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6D34B2" w14:textId="44DF5D6A" w:rsidR="00175260" w:rsidRPr="00617689" w:rsidRDefault="00827D05" w:rsidP="00A84387">
            <w:pPr>
              <w:widowControl w:val="0"/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689">
              <w:rPr>
                <w:rFonts w:ascii="Arial" w:hAnsi="Arial" w:cs="Arial"/>
                <w:sz w:val="16"/>
                <w:szCs w:val="16"/>
              </w:rPr>
              <w:t>$35.00 PER ACRE FT</w:t>
            </w:r>
          </w:p>
        </w:tc>
        <w:tc>
          <w:tcPr>
            <w:tcW w:w="2214" w:type="dxa"/>
          </w:tcPr>
          <w:p w14:paraId="2250F3E0" w14:textId="77777777" w:rsidR="00827D05" w:rsidRPr="00617689" w:rsidRDefault="00827D05" w:rsidP="00A84387">
            <w:pPr>
              <w:widowControl w:val="0"/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377744" w14:textId="77777777" w:rsidR="00827D05" w:rsidRPr="00617689" w:rsidRDefault="00827D05" w:rsidP="00A84387">
            <w:pPr>
              <w:widowControl w:val="0"/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8B3FDE" w14:textId="16A8A10F" w:rsidR="00175260" w:rsidRPr="00617689" w:rsidRDefault="00827D05" w:rsidP="00A84387">
            <w:pPr>
              <w:widowControl w:val="0"/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689">
              <w:rPr>
                <w:rFonts w:ascii="Arial" w:hAnsi="Arial" w:cs="Arial"/>
                <w:sz w:val="16"/>
                <w:szCs w:val="16"/>
              </w:rPr>
              <w:t>$40.00 PER ACRE FT</w:t>
            </w:r>
          </w:p>
        </w:tc>
        <w:tc>
          <w:tcPr>
            <w:tcW w:w="2284" w:type="dxa"/>
          </w:tcPr>
          <w:p w14:paraId="0A401588" w14:textId="77777777" w:rsidR="00827D05" w:rsidRPr="00617689" w:rsidRDefault="00827D05" w:rsidP="00A84387">
            <w:pPr>
              <w:widowControl w:val="0"/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4D18A9" w14:textId="77777777" w:rsidR="00827D05" w:rsidRPr="00617689" w:rsidRDefault="00827D05" w:rsidP="00A84387">
            <w:pPr>
              <w:widowControl w:val="0"/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E121E" w14:textId="23E6D1A4" w:rsidR="00175260" w:rsidRPr="00617689" w:rsidRDefault="00827D05" w:rsidP="00A84387">
            <w:pPr>
              <w:widowControl w:val="0"/>
              <w:ind w:righ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689">
              <w:rPr>
                <w:rFonts w:ascii="Arial" w:hAnsi="Arial" w:cs="Arial"/>
                <w:sz w:val="16"/>
                <w:szCs w:val="16"/>
              </w:rPr>
              <w:t>$5.00</w:t>
            </w:r>
          </w:p>
        </w:tc>
      </w:tr>
    </w:tbl>
    <w:p w14:paraId="1F533214" w14:textId="18E7C0D6" w:rsidR="004B292A" w:rsidRPr="00617689" w:rsidRDefault="004B292A" w:rsidP="004B292A">
      <w:pPr>
        <w:widowControl w:val="0"/>
        <w:ind w:left="270" w:right="360"/>
        <w:jc w:val="center"/>
        <w:rPr>
          <w:rFonts w:ascii="Arial" w:hAnsi="Arial" w:cs="Arial"/>
          <w:sz w:val="16"/>
          <w:szCs w:val="16"/>
        </w:rPr>
      </w:pPr>
      <w:r w:rsidRPr="00617689">
        <w:rPr>
          <w:rFonts w:ascii="Arial" w:hAnsi="Arial" w:cs="Arial"/>
          <w:sz w:val="16"/>
          <w:szCs w:val="16"/>
          <w:highlight w:val="yellow"/>
        </w:rPr>
        <w:t>Changes for property assessments</w:t>
      </w:r>
      <w:r w:rsidR="009D71C6" w:rsidRPr="00617689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617689">
        <w:rPr>
          <w:rFonts w:ascii="Arial" w:hAnsi="Arial" w:cs="Arial"/>
          <w:sz w:val="16"/>
          <w:szCs w:val="16"/>
          <w:highlight w:val="yellow"/>
        </w:rPr>
        <w:t>go into effect</w:t>
      </w:r>
      <w:r w:rsidR="009D71C6" w:rsidRPr="00617689">
        <w:rPr>
          <w:rFonts w:ascii="Arial" w:hAnsi="Arial" w:cs="Arial"/>
          <w:sz w:val="16"/>
          <w:szCs w:val="16"/>
          <w:highlight w:val="yellow"/>
        </w:rPr>
        <w:t xml:space="preserve"> 11/1/2022</w:t>
      </w:r>
    </w:p>
    <w:p w14:paraId="333BB681" w14:textId="77777777" w:rsidR="00087B03" w:rsidRPr="00617689" w:rsidRDefault="00087B03" w:rsidP="008E72E6">
      <w:pPr>
        <w:widowControl w:val="0"/>
        <w:ind w:left="270" w:right="360"/>
        <w:jc w:val="both"/>
        <w:rPr>
          <w:rFonts w:ascii="Arial" w:hAnsi="Arial" w:cs="Arial"/>
        </w:rPr>
      </w:pPr>
    </w:p>
    <w:p w14:paraId="44E0BC5B" w14:textId="77777777" w:rsidR="009D71C6" w:rsidRPr="00617689" w:rsidRDefault="009D71C6" w:rsidP="004A3230">
      <w:pPr>
        <w:widowControl w:val="0"/>
        <w:ind w:right="360"/>
        <w:jc w:val="both"/>
        <w:rPr>
          <w:rFonts w:ascii="Arial" w:hAnsi="Arial" w:cs="Arial"/>
          <w:sz w:val="22"/>
          <w:szCs w:val="22"/>
        </w:rPr>
      </w:pPr>
    </w:p>
    <w:p w14:paraId="536AEB9A" w14:textId="595088A2" w:rsidR="00827D05" w:rsidRPr="00617689" w:rsidRDefault="00827D05" w:rsidP="009D71C6">
      <w:pPr>
        <w:widowControl w:val="0"/>
        <w:ind w:right="360"/>
        <w:jc w:val="both"/>
        <w:rPr>
          <w:rFonts w:ascii="Arial" w:hAnsi="Arial" w:cs="Arial"/>
          <w:sz w:val="22"/>
          <w:szCs w:val="22"/>
        </w:rPr>
      </w:pPr>
      <w:r w:rsidRPr="00617689">
        <w:rPr>
          <w:rFonts w:ascii="Arial" w:hAnsi="Arial" w:cs="Arial"/>
          <w:sz w:val="22"/>
          <w:szCs w:val="22"/>
        </w:rPr>
        <w:t>For any questions</w:t>
      </w:r>
      <w:r w:rsidR="009D71C6" w:rsidRPr="00617689">
        <w:rPr>
          <w:rFonts w:ascii="Arial" w:hAnsi="Arial" w:cs="Arial"/>
          <w:sz w:val="22"/>
          <w:szCs w:val="22"/>
        </w:rPr>
        <w:t xml:space="preserve"> or information to substantiate the rate increase</w:t>
      </w:r>
      <w:r w:rsidRPr="00617689">
        <w:rPr>
          <w:rFonts w:ascii="Arial" w:hAnsi="Arial" w:cs="Arial"/>
          <w:sz w:val="22"/>
          <w:szCs w:val="22"/>
        </w:rPr>
        <w:t xml:space="preserve"> please refer to our website</w:t>
      </w:r>
      <w:r w:rsidR="004A3230" w:rsidRPr="00617689">
        <w:rPr>
          <w:rFonts w:ascii="Arial" w:hAnsi="Arial" w:cs="Arial"/>
          <w:sz w:val="22"/>
          <w:szCs w:val="22"/>
        </w:rPr>
        <w:t xml:space="preserve"> @</w:t>
      </w:r>
      <w:r w:rsidR="009D71C6" w:rsidRPr="00617689">
        <w:rPr>
          <w:rFonts w:ascii="Arial" w:hAnsi="Arial" w:cs="Arial"/>
          <w:sz w:val="22"/>
          <w:szCs w:val="22"/>
        </w:rPr>
        <w:t xml:space="preserve"> www.trqid.com and select the </w:t>
      </w:r>
      <w:hyperlink r:id="rId8" w:history="1">
        <w:r w:rsidR="009D71C6" w:rsidRPr="00617689">
          <w:rPr>
            <w:rFonts w:ascii="Arial" w:hAnsi="Arial" w:cs="Arial"/>
            <w:color w:val="0000FF"/>
            <w:u w:val="single"/>
          </w:rPr>
          <w:t>Prop-218-Engineers-Report-1.pdf (trqid.com)</w:t>
        </w:r>
      </w:hyperlink>
      <w:r w:rsidR="009D71C6" w:rsidRPr="00617689">
        <w:rPr>
          <w:rFonts w:ascii="Arial" w:hAnsi="Arial" w:cs="Arial"/>
        </w:rPr>
        <w:t xml:space="preserve"> located under Public Notices and Agendas.</w:t>
      </w:r>
      <w:r w:rsidR="009D71C6" w:rsidRPr="00617689">
        <w:rPr>
          <w:rFonts w:ascii="Arial" w:hAnsi="Arial" w:cs="Arial"/>
          <w:sz w:val="22"/>
          <w:szCs w:val="22"/>
        </w:rPr>
        <w:t xml:space="preserve"> </w:t>
      </w:r>
    </w:p>
    <w:p w14:paraId="42B8D923" w14:textId="01968F37" w:rsidR="009D71C6" w:rsidRPr="00617689" w:rsidRDefault="009D71C6" w:rsidP="009D71C6">
      <w:pPr>
        <w:widowControl w:val="0"/>
        <w:ind w:right="360"/>
        <w:jc w:val="both"/>
        <w:rPr>
          <w:rFonts w:ascii="Arial" w:hAnsi="Arial" w:cs="Arial"/>
          <w:sz w:val="22"/>
          <w:szCs w:val="22"/>
        </w:rPr>
      </w:pPr>
      <w:r w:rsidRPr="00617689">
        <w:rPr>
          <w:rFonts w:ascii="Arial" w:hAnsi="Arial" w:cs="Arial"/>
          <w:sz w:val="22"/>
          <w:szCs w:val="22"/>
        </w:rPr>
        <w:t>Any other questions please contact our office at (559)698-7225.</w:t>
      </w:r>
    </w:p>
    <w:p w14:paraId="162F49D1" w14:textId="2F2F9AF6" w:rsidR="004A3230" w:rsidRPr="00617689" w:rsidRDefault="004A3230" w:rsidP="004A3230">
      <w:pPr>
        <w:widowControl w:val="0"/>
        <w:ind w:right="360"/>
        <w:jc w:val="both"/>
        <w:rPr>
          <w:rFonts w:ascii="Arial" w:hAnsi="Arial" w:cs="Arial"/>
          <w:sz w:val="20"/>
          <w:szCs w:val="20"/>
        </w:rPr>
      </w:pPr>
    </w:p>
    <w:p w14:paraId="5058A682" w14:textId="73F8AC94" w:rsidR="004A3230" w:rsidRPr="00617689" w:rsidRDefault="004A3230" w:rsidP="004A3230">
      <w:pPr>
        <w:widowControl w:val="0"/>
        <w:ind w:right="360"/>
        <w:jc w:val="both"/>
        <w:rPr>
          <w:rFonts w:ascii="Arial" w:hAnsi="Arial" w:cs="Arial"/>
          <w:sz w:val="20"/>
          <w:szCs w:val="20"/>
        </w:rPr>
      </w:pPr>
    </w:p>
    <w:p w14:paraId="2601A46D" w14:textId="77777777" w:rsidR="004A3230" w:rsidRPr="00617689" w:rsidRDefault="004A3230" w:rsidP="004A3230">
      <w:pPr>
        <w:widowControl w:val="0"/>
        <w:ind w:right="360"/>
        <w:jc w:val="both"/>
        <w:rPr>
          <w:rFonts w:ascii="Arial" w:hAnsi="Arial" w:cs="Arial"/>
          <w:sz w:val="20"/>
          <w:szCs w:val="20"/>
        </w:rPr>
      </w:pPr>
    </w:p>
    <w:p w14:paraId="5300931A" w14:textId="2904CB38" w:rsidR="00827D05" w:rsidRPr="00617689" w:rsidRDefault="00827D05" w:rsidP="004A3230">
      <w:pPr>
        <w:widowControl w:val="0"/>
        <w:ind w:right="360"/>
        <w:jc w:val="both"/>
        <w:rPr>
          <w:rFonts w:ascii="Arial" w:hAnsi="Arial" w:cs="Arial"/>
        </w:rPr>
      </w:pPr>
      <w:r w:rsidRPr="00617689">
        <w:rPr>
          <w:rFonts w:ascii="Arial" w:hAnsi="Arial" w:cs="Arial"/>
        </w:rPr>
        <w:t>Thank You</w:t>
      </w:r>
      <w:r w:rsidR="00617689" w:rsidRPr="00617689">
        <w:rPr>
          <w:rFonts w:ascii="Arial" w:hAnsi="Arial" w:cs="Arial"/>
        </w:rPr>
        <w:t>,</w:t>
      </w:r>
    </w:p>
    <w:p w14:paraId="039C328F" w14:textId="47A1F02C" w:rsidR="00827D05" w:rsidRPr="00617689" w:rsidRDefault="00827D05" w:rsidP="008E72E6">
      <w:pPr>
        <w:widowControl w:val="0"/>
        <w:ind w:left="270" w:right="360"/>
        <w:jc w:val="both"/>
        <w:rPr>
          <w:rFonts w:ascii="Arial" w:hAnsi="Arial" w:cs="Arial"/>
        </w:rPr>
      </w:pPr>
    </w:p>
    <w:p w14:paraId="2A879B02" w14:textId="1BBF0EBA" w:rsidR="004A3230" w:rsidRPr="00617689" w:rsidRDefault="004A3230" w:rsidP="004A3230">
      <w:pPr>
        <w:widowControl w:val="0"/>
        <w:ind w:right="360"/>
        <w:jc w:val="both"/>
        <w:rPr>
          <w:rFonts w:ascii="Arial" w:hAnsi="Arial" w:cs="Arial"/>
        </w:rPr>
      </w:pPr>
      <w:proofErr w:type="spellStart"/>
      <w:r w:rsidRPr="00617689">
        <w:rPr>
          <w:rFonts w:ascii="Arial" w:hAnsi="Arial" w:cs="Arial"/>
        </w:rPr>
        <w:t>Tranquillity</w:t>
      </w:r>
      <w:proofErr w:type="spellEnd"/>
      <w:r w:rsidRPr="00617689">
        <w:rPr>
          <w:rFonts w:ascii="Arial" w:hAnsi="Arial" w:cs="Arial"/>
        </w:rPr>
        <w:t xml:space="preserve"> Irrigation District</w:t>
      </w:r>
    </w:p>
    <w:sectPr w:rsidR="004A3230" w:rsidRPr="00617689" w:rsidSect="00617689">
      <w:headerReference w:type="default" r:id="rId9"/>
      <w:footerReference w:type="defaul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B961" w14:textId="77777777" w:rsidR="004269D4" w:rsidRDefault="004269D4" w:rsidP="00A051DB">
      <w:r>
        <w:separator/>
      </w:r>
    </w:p>
  </w:endnote>
  <w:endnote w:type="continuationSeparator" w:id="0">
    <w:p w14:paraId="323C73C9" w14:textId="77777777" w:rsidR="004269D4" w:rsidRDefault="004269D4" w:rsidP="00A0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ladimir Script">
    <w:altName w:val="Vladimir Script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0FC" w14:textId="77777777" w:rsidR="004269D4" w:rsidRDefault="004269D4" w:rsidP="001F0031">
    <w:pPr>
      <w:pStyle w:val="Footer"/>
      <w:jc w:val="center"/>
    </w:pPr>
    <w:r>
      <w:t xml:space="preserve">PO Box 487, </w:t>
    </w:r>
    <w:proofErr w:type="spellStart"/>
    <w:r>
      <w:t>Tranquillity</w:t>
    </w:r>
    <w:proofErr w:type="spellEnd"/>
    <w:r>
      <w:t xml:space="preserve"> CA  93668</w:t>
    </w:r>
  </w:p>
  <w:p w14:paraId="6E513177" w14:textId="77777777" w:rsidR="004269D4" w:rsidRDefault="004269D4" w:rsidP="001F0031">
    <w:pPr>
      <w:pStyle w:val="Footer"/>
      <w:jc w:val="center"/>
    </w:pPr>
    <w:r>
      <w:t>Phone (559) 698-7225 / Fax 559-698-5105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A777" w14:textId="77777777" w:rsidR="004269D4" w:rsidRDefault="004269D4" w:rsidP="00A051DB">
      <w:r>
        <w:separator/>
      </w:r>
    </w:p>
  </w:footnote>
  <w:footnote w:type="continuationSeparator" w:id="0">
    <w:p w14:paraId="7E76C773" w14:textId="77777777" w:rsidR="004269D4" w:rsidRDefault="004269D4" w:rsidP="00A05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9754" w14:textId="77777777" w:rsidR="004269D4" w:rsidRPr="005F240A" w:rsidRDefault="004269D4" w:rsidP="00A051DB">
    <w:pPr>
      <w:pStyle w:val="Header"/>
      <w:jc w:val="center"/>
      <w:rPr>
        <w:rFonts w:ascii="Vladimir Script" w:hAnsi="Vladimir Script"/>
        <w:b/>
        <w:sz w:val="39"/>
        <w:szCs w:val="39"/>
      </w:rPr>
    </w:pPr>
    <w:proofErr w:type="spellStart"/>
    <w:r w:rsidRPr="005F240A">
      <w:rPr>
        <w:rFonts w:ascii="Vladimir Script" w:hAnsi="Vladimir Script"/>
        <w:b/>
        <w:sz w:val="39"/>
        <w:szCs w:val="39"/>
      </w:rPr>
      <w:t>Tranquillity</w:t>
    </w:r>
    <w:proofErr w:type="spellEnd"/>
    <w:r w:rsidRPr="005F240A">
      <w:rPr>
        <w:rFonts w:ascii="Vladimir Script" w:hAnsi="Vladimir Script"/>
        <w:b/>
        <w:sz w:val="39"/>
        <w:szCs w:val="39"/>
      </w:rPr>
      <w:t xml:space="preserve"> Irrigation District</w:t>
    </w:r>
  </w:p>
  <w:p w14:paraId="19A247B0" w14:textId="7C187B9A" w:rsidR="004269D4" w:rsidRPr="005F240A" w:rsidRDefault="004269D4" w:rsidP="00F84DC1">
    <w:pPr>
      <w:pStyle w:val="Header"/>
      <w:rPr>
        <w:b/>
        <w:sz w:val="14"/>
        <w:szCs w:val="14"/>
      </w:rPr>
    </w:pPr>
    <w:r w:rsidRPr="005F240A">
      <w:rPr>
        <w:b/>
        <w:sz w:val="14"/>
        <w:szCs w:val="14"/>
      </w:rPr>
      <w:t>Directors:</w:t>
    </w:r>
    <w:r w:rsidRPr="005F240A">
      <w:rPr>
        <w:b/>
        <w:sz w:val="14"/>
        <w:szCs w:val="14"/>
      </w:rPr>
      <w:tab/>
    </w:r>
    <w:r w:rsidRPr="005F240A">
      <w:rPr>
        <w:b/>
        <w:sz w:val="14"/>
        <w:szCs w:val="14"/>
      </w:rPr>
      <w:tab/>
      <w:t xml:space="preserve">Manager: </w:t>
    </w:r>
  </w:p>
  <w:p w14:paraId="01A4DA12" w14:textId="524AB4FC" w:rsidR="004269D4" w:rsidRPr="005F240A" w:rsidRDefault="00CA602C" w:rsidP="00F84DC1">
    <w:pPr>
      <w:pStyle w:val="Header"/>
      <w:rPr>
        <w:b/>
        <w:sz w:val="14"/>
        <w:szCs w:val="14"/>
      </w:rPr>
    </w:pPr>
    <w:r>
      <w:rPr>
        <w:b/>
        <w:noProof/>
        <w:sz w:val="14"/>
        <w:szCs w:val="14"/>
      </w:rPr>
      <w:drawing>
        <wp:anchor distT="0" distB="0" distL="114300" distR="114300" simplePos="0" relativeHeight="251662336" behindDoc="1" locked="0" layoutInCell="1" allowOverlap="1" wp14:anchorId="2D3ADC9E" wp14:editId="5B178331">
          <wp:simplePos x="0" y="0"/>
          <wp:positionH relativeFrom="margin">
            <wp:align>center</wp:align>
          </wp:positionH>
          <wp:positionV relativeFrom="paragraph">
            <wp:posOffset>12065</wp:posOffset>
          </wp:positionV>
          <wp:extent cx="876300" cy="790575"/>
          <wp:effectExtent l="0" t="0" r="0" b="9525"/>
          <wp:wrapNone/>
          <wp:docPr id="2" name="Picture 2" descr="logo_ltrhead_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trhead_v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269D4" w:rsidRPr="005F240A">
      <w:rPr>
        <w:b/>
        <w:sz w:val="14"/>
        <w:szCs w:val="14"/>
      </w:rPr>
      <w:t>George Ayerza, Jr.</w:t>
    </w:r>
    <w:r w:rsidR="004269D4" w:rsidRPr="005F240A">
      <w:rPr>
        <w:b/>
        <w:sz w:val="14"/>
        <w:szCs w:val="14"/>
      </w:rPr>
      <w:tab/>
    </w:r>
    <w:r w:rsidR="004269D4" w:rsidRPr="005F240A">
      <w:rPr>
        <w:b/>
        <w:sz w:val="14"/>
        <w:szCs w:val="14"/>
      </w:rPr>
      <w:tab/>
    </w:r>
    <w:r w:rsidR="004269D4">
      <w:rPr>
        <w:b/>
        <w:sz w:val="14"/>
        <w:szCs w:val="14"/>
      </w:rPr>
      <w:t>Danny M</w:t>
    </w:r>
    <w:r w:rsidR="004269D4" w:rsidRPr="005F240A">
      <w:rPr>
        <w:b/>
        <w:sz w:val="14"/>
        <w:szCs w:val="14"/>
      </w:rPr>
      <w:t xml:space="preserve"> Wade</w:t>
    </w:r>
  </w:p>
  <w:p w14:paraId="2C4EA1AF" w14:textId="77777777" w:rsidR="004269D4" w:rsidRPr="005F240A" w:rsidRDefault="004269D4" w:rsidP="00F84DC1">
    <w:pPr>
      <w:pStyle w:val="Header"/>
      <w:rPr>
        <w:b/>
        <w:sz w:val="14"/>
        <w:szCs w:val="14"/>
      </w:rPr>
    </w:pPr>
    <w:r w:rsidRPr="005F240A">
      <w:rPr>
        <w:b/>
        <w:sz w:val="14"/>
        <w:szCs w:val="14"/>
      </w:rPr>
      <w:t>William Pucheu</w:t>
    </w:r>
    <w:r w:rsidRPr="005F240A">
      <w:rPr>
        <w:b/>
        <w:sz w:val="14"/>
        <w:szCs w:val="14"/>
      </w:rPr>
      <w:tab/>
    </w:r>
    <w:r w:rsidRPr="005F240A">
      <w:rPr>
        <w:b/>
        <w:sz w:val="14"/>
        <w:szCs w:val="14"/>
      </w:rPr>
      <w:tab/>
      <w:t>Secretary/Treasurer:</w:t>
    </w:r>
  </w:p>
  <w:p w14:paraId="5F9D7271" w14:textId="77777777" w:rsidR="004269D4" w:rsidRPr="005F240A" w:rsidRDefault="004269D4" w:rsidP="00F84DC1">
    <w:pPr>
      <w:pStyle w:val="Header"/>
      <w:rPr>
        <w:b/>
        <w:sz w:val="14"/>
        <w:szCs w:val="14"/>
        <w:lang w:val="es-MX"/>
      </w:rPr>
    </w:pPr>
    <w:r>
      <w:rPr>
        <w:b/>
        <w:sz w:val="14"/>
        <w:szCs w:val="14"/>
        <w:lang w:val="es-MX"/>
      </w:rPr>
      <w:t xml:space="preserve">Jerome F. </w:t>
    </w:r>
    <w:r w:rsidRPr="005F240A">
      <w:rPr>
        <w:b/>
        <w:sz w:val="14"/>
        <w:szCs w:val="14"/>
        <w:lang w:val="es-MX"/>
      </w:rPr>
      <w:t>Salvador</w:t>
    </w:r>
    <w:r w:rsidRPr="005F240A">
      <w:rPr>
        <w:b/>
        <w:sz w:val="14"/>
        <w:szCs w:val="14"/>
        <w:lang w:val="es-MX"/>
      </w:rPr>
      <w:tab/>
    </w:r>
    <w:r w:rsidRPr="005F240A">
      <w:rPr>
        <w:b/>
        <w:sz w:val="14"/>
        <w:szCs w:val="14"/>
        <w:lang w:val="es-MX"/>
      </w:rPr>
      <w:tab/>
      <w:t>Elizabeth Reeves</w:t>
    </w:r>
  </w:p>
  <w:p w14:paraId="363C436A" w14:textId="112CEE83" w:rsidR="004269D4" w:rsidRPr="005F240A" w:rsidRDefault="004269D4" w:rsidP="00F84DC1">
    <w:pPr>
      <w:pStyle w:val="Header"/>
      <w:rPr>
        <w:b/>
        <w:sz w:val="14"/>
        <w:szCs w:val="14"/>
        <w:lang w:val="es-MX"/>
      </w:rPr>
    </w:pPr>
    <w:r w:rsidRPr="005F240A">
      <w:rPr>
        <w:b/>
        <w:sz w:val="14"/>
        <w:szCs w:val="14"/>
        <w:lang w:val="es-MX"/>
      </w:rPr>
      <w:tab/>
    </w:r>
    <w:r w:rsidRPr="005F240A">
      <w:rPr>
        <w:b/>
        <w:sz w:val="14"/>
        <w:szCs w:val="14"/>
        <w:lang w:val="es-MX"/>
      </w:rPr>
      <w:tab/>
      <w:t xml:space="preserve">Legal </w:t>
    </w:r>
    <w:proofErr w:type="spellStart"/>
    <w:r w:rsidRPr="005F240A">
      <w:rPr>
        <w:b/>
        <w:sz w:val="14"/>
        <w:szCs w:val="14"/>
        <w:lang w:val="es-MX"/>
      </w:rPr>
      <w:t>Coun</w:t>
    </w:r>
    <w:r w:rsidR="009D50B6">
      <w:rPr>
        <w:b/>
        <w:sz w:val="14"/>
        <w:szCs w:val="14"/>
        <w:lang w:val="es-MX"/>
      </w:rPr>
      <w:t>se</w:t>
    </w:r>
    <w:r w:rsidRPr="005F240A">
      <w:rPr>
        <w:b/>
        <w:sz w:val="14"/>
        <w:szCs w:val="14"/>
        <w:lang w:val="es-MX"/>
      </w:rPr>
      <w:t>l</w:t>
    </w:r>
    <w:proofErr w:type="spellEnd"/>
    <w:r w:rsidRPr="005F240A">
      <w:rPr>
        <w:b/>
        <w:sz w:val="14"/>
        <w:szCs w:val="14"/>
        <w:lang w:val="es-MX"/>
      </w:rPr>
      <w:t>:</w:t>
    </w:r>
  </w:p>
  <w:p w14:paraId="40F2F9F2" w14:textId="77777777" w:rsidR="004269D4" w:rsidRPr="005F240A" w:rsidRDefault="004269D4" w:rsidP="00F84DC1">
    <w:pPr>
      <w:pStyle w:val="Header"/>
      <w:tabs>
        <w:tab w:val="clear" w:pos="4680"/>
        <w:tab w:val="center" w:pos="5040"/>
      </w:tabs>
      <w:rPr>
        <w:sz w:val="14"/>
        <w:szCs w:val="14"/>
        <w:lang w:val="es-MX"/>
      </w:rPr>
    </w:pPr>
    <w:r w:rsidRPr="005F240A">
      <w:rPr>
        <w:b/>
        <w:sz w:val="14"/>
        <w:szCs w:val="14"/>
        <w:lang w:val="es-MX"/>
      </w:rPr>
      <w:tab/>
    </w:r>
    <w:r w:rsidRPr="005F240A">
      <w:rPr>
        <w:b/>
        <w:sz w:val="14"/>
        <w:szCs w:val="14"/>
        <w:lang w:val="es-MX"/>
      </w:rPr>
      <w:tab/>
    </w:r>
    <w:r>
      <w:rPr>
        <w:b/>
        <w:sz w:val="14"/>
        <w:szCs w:val="14"/>
        <w:lang w:val="es-MX"/>
      </w:rPr>
      <w:t xml:space="preserve">Baker </w:t>
    </w:r>
    <w:proofErr w:type="spellStart"/>
    <w:r>
      <w:rPr>
        <w:b/>
        <w:sz w:val="14"/>
        <w:szCs w:val="14"/>
        <w:lang w:val="es-MX"/>
      </w:rPr>
      <w:t>Manock</w:t>
    </w:r>
    <w:proofErr w:type="spellEnd"/>
    <w:r>
      <w:rPr>
        <w:b/>
        <w:sz w:val="14"/>
        <w:szCs w:val="14"/>
        <w:lang w:val="es-MX"/>
      </w:rPr>
      <w:t xml:space="preserve"> &amp; Jensen</w:t>
    </w:r>
  </w:p>
  <w:p w14:paraId="446B9AD8" w14:textId="73814813" w:rsidR="004269D4" w:rsidRDefault="00617689" w:rsidP="00617689">
    <w:pPr>
      <w:pStyle w:val="Header"/>
      <w:tabs>
        <w:tab w:val="clear" w:pos="4680"/>
        <w:tab w:val="clear" w:pos="9360"/>
        <w:tab w:val="left" w:pos="5040"/>
      </w:tabs>
      <w:rPr>
        <w:sz w:val="14"/>
        <w:szCs w:val="14"/>
        <w:lang w:val="es-MX"/>
      </w:rPr>
    </w:pPr>
    <w:r>
      <w:rPr>
        <w:sz w:val="14"/>
        <w:szCs w:val="14"/>
        <w:lang w:val="es-MX"/>
      </w:rPr>
      <w:tab/>
    </w:r>
  </w:p>
  <w:p w14:paraId="6D0E6C70" w14:textId="5DAD2428" w:rsidR="00481ACE" w:rsidRDefault="00481ACE" w:rsidP="00A051DB">
    <w:pPr>
      <w:pStyle w:val="Header"/>
      <w:rPr>
        <w:sz w:val="14"/>
        <w:szCs w:val="14"/>
        <w:lang w:val="es-MX"/>
      </w:rPr>
    </w:pPr>
  </w:p>
  <w:p w14:paraId="5650F2E3" w14:textId="77777777" w:rsidR="004A3230" w:rsidRPr="005F240A" w:rsidRDefault="004A3230" w:rsidP="00A051DB">
    <w:pPr>
      <w:pStyle w:val="Header"/>
      <w:rPr>
        <w:sz w:val="14"/>
        <w:szCs w:val="14"/>
        <w:lang w:val="es-MX"/>
      </w:rPr>
    </w:pPr>
  </w:p>
  <w:p w14:paraId="6F2039D1" w14:textId="77777777" w:rsidR="004269D4" w:rsidRPr="005F240A" w:rsidRDefault="004269D4" w:rsidP="00A051DB">
    <w:pPr>
      <w:pStyle w:val="Header"/>
      <w:rPr>
        <w:sz w:val="14"/>
        <w:szCs w:val="14"/>
        <w:lang w:val="es-MX"/>
      </w:rPr>
    </w:pPr>
  </w:p>
  <w:p w14:paraId="20519520" w14:textId="77777777" w:rsidR="00481ACE" w:rsidRDefault="00481ACE" w:rsidP="004A3230">
    <w:pPr>
      <w:widowControl w:val="0"/>
      <w:ind w:left="270" w:right="36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624B"/>
    <w:multiLevelType w:val="hybridMultilevel"/>
    <w:tmpl w:val="521E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118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877762B"/>
    <w:multiLevelType w:val="multilevel"/>
    <w:tmpl w:val="5A7E14B8"/>
    <w:lvl w:ilvl="0">
      <w:start w:val="8397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3413"/>
      <w:numFmt w:val="decimal"/>
      <w:lvlText w:val="%1-%2"/>
      <w:lvlJc w:val="left"/>
      <w:pPr>
        <w:tabs>
          <w:tab w:val="num" w:pos="3210"/>
        </w:tabs>
        <w:ind w:left="3210" w:hanging="18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590"/>
        </w:tabs>
        <w:ind w:left="4590" w:hanging="18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970"/>
        </w:tabs>
        <w:ind w:left="5970" w:hanging="18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350"/>
        </w:tabs>
        <w:ind w:left="7350" w:hanging="18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730"/>
        </w:tabs>
        <w:ind w:left="8730" w:hanging="18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110"/>
        </w:tabs>
        <w:ind w:left="10110" w:hanging="18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490"/>
        </w:tabs>
        <w:ind w:left="11490" w:hanging="18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870"/>
        </w:tabs>
        <w:ind w:left="12870" w:hanging="1830"/>
      </w:pPr>
      <w:rPr>
        <w:rFonts w:hint="default"/>
      </w:rPr>
    </w:lvl>
  </w:abstractNum>
  <w:abstractNum w:abstractNumId="3" w15:restartNumberingAfterBreak="0">
    <w:nsid w:val="391638FC"/>
    <w:multiLevelType w:val="hybridMultilevel"/>
    <w:tmpl w:val="EB98E8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1739B3"/>
    <w:multiLevelType w:val="hybridMultilevel"/>
    <w:tmpl w:val="CDA4A9EE"/>
    <w:lvl w:ilvl="0" w:tplc="ACCEF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9F5AE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71B72FB"/>
    <w:multiLevelType w:val="hybridMultilevel"/>
    <w:tmpl w:val="B464FC88"/>
    <w:lvl w:ilvl="0" w:tplc="2C4E1FD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DB"/>
    <w:rsid w:val="00012ACC"/>
    <w:rsid w:val="00054016"/>
    <w:rsid w:val="000622FB"/>
    <w:rsid w:val="00087B03"/>
    <w:rsid w:val="000B2820"/>
    <w:rsid w:val="000C5E9B"/>
    <w:rsid w:val="001466C8"/>
    <w:rsid w:val="00156F8C"/>
    <w:rsid w:val="00175088"/>
    <w:rsid w:val="00175260"/>
    <w:rsid w:val="0019426B"/>
    <w:rsid w:val="001C5DFA"/>
    <w:rsid w:val="001F0031"/>
    <w:rsid w:val="001F3BBA"/>
    <w:rsid w:val="002B1769"/>
    <w:rsid w:val="002D139B"/>
    <w:rsid w:val="002D5E94"/>
    <w:rsid w:val="002E3871"/>
    <w:rsid w:val="00307946"/>
    <w:rsid w:val="00364BFE"/>
    <w:rsid w:val="00381971"/>
    <w:rsid w:val="004269D4"/>
    <w:rsid w:val="00447C6C"/>
    <w:rsid w:val="0047772A"/>
    <w:rsid w:val="00481ACE"/>
    <w:rsid w:val="00494C82"/>
    <w:rsid w:val="004A3230"/>
    <w:rsid w:val="004B292A"/>
    <w:rsid w:val="005218E5"/>
    <w:rsid w:val="005377E9"/>
    <w:rsid w:val="005576EA"/>
    <w:rsid w:val="00590DFC"/>
    <w:rsid w:val="0059207A"/>
    <w:rsid w:val="00617689"/>
    <w:rsid w:val="00633A38"/>
    <w:rsid w:val="00641425"/>
    <w:rsid w:val="00646DD4"/>
    <w:rsid w:val="00656003"/>
    <w:rsid w:val="0067532E"/>
    <w:rsid w:val="006A08B8"/>
    <w:rsid w:val="006D5D45"/>
    <w:rsid w:val="006F7204"/>
    <w:rsid w:val="00731352"/>
    <w:rsid w:val="00747B09"/>
    <w:rsid w:val="0077495F"/>
    <w:rsid w:val="007A045F"/>
    <w:rsid w:val="007C7C2A"/>
    <w:rsid w:val="007F00C7"/>
    <w:rsid w:val="0080641D"/>
    <w:rsid w:val="00827D05"/>
    <w:rsid w:val="00860F01"/>
    <w:rsid w:val="00861B4E"/>
    <w:rsid w:val="008B6E2C"/>
    <w:rsid w:val="008E72E6"/>
    <w:rsid w:val="00935208"/>
    <w:rsid w:val="00961698"/>
    <w:rsid w:val="00983819"/>
    <w:rsid w:val="00992992"/>
    <w:rsid w:val="009C7920"/>
    <w:rsid w:val="009D50B6"/>
    <w:rsid w:val="009D71C6"/>
    <w:rsid w:val="00A051DB"/>
    <w:rsid w:val="00A663C5"/>
    <w:rsid w:val="00A84387"/>
    <w:rsid w:val="00AE1306"/>
    <w:rsid w:val="00AE5F59"/>
    <w:rsid w:val="00B8382D"/>
    <w:rsid w:val="00B95B88"/>
    <w:rsid w:val="00BA39F9"/>
    <w:rsid w:val="00BF74C9"/>
    <w:rsid w:val="00C0473A"/>
    <w:rsid w:val="00C42A60"/>
    <w:rsid w:val="00CA602C"/>
    <w:rsid w:val="00CC16AE"/>
    <w:rsid w:val="00CC4B35"/>
    <w:rsid w:val="00D02FBB"/>
    <w:rsid w:val="00D12D26"/>
    <w:rsid w:val="00D641D9"/>
    <w:rsid w:val="00D71707"/>
    <w:rsid w:val="00DE2690"/>
    <w:rsid w:val="00DF6BB8"/>
    <w:rsid w:val="00E13F5D"/>
    <w:rsid w:val="00E3058B"/>
    <w:rsid w:val="00EE3FED"/>
    <w:rsid w:val="00F12E3B"/>
    <w:rsid w:val="00F84DC1"/>
    <w:rsid w:val="00FB036E"/>
    <w:rsid w:val="00F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92F0B"/>
  <w15:docId w15:val="{DDA6595D-CD07-4316-B1D6-9B30C7EC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7B09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51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51DB"/>
  </w:style>
  <w:style w:type="paragraph" w:styleId="Footer">
    <w:name w:val="footer"/>
    <w:basedOn w:val="Normal"/>
    <w:link w:val="FooterChar"/>
    <w:uiPriority w:val="99"/>
    <w:unhideWhenUsed/>
    <w:rsid w:val="00A05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1DB"/>
  </w:style>
  <w:style w:type="paragraph" w:styleId="BalloonText">
    <w:name w:val="Balloon Text"/>
    <w:basedOn w:val="Normal"/>
    <w:link w:val="BalloonTextChar"/>
    <w:uiPriority w:val="99"/>
    <w:semiHidden/>
    <w:unhideWhenUsed/>
    <w:rsid w:val="00A05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47B09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semiHidden/>
    <w:rsid w:val="00AE1306"/>
    <w:rPr>
      <w:color w:val="0000FF"/>
      <w:u w:val="single"/>
    </w:rPr>
  </w:style>
  <w:style w:type="paragraph" w:customStyle="1" w:styleId="PAParaText">
    <w:name w:val="PA_ParaText"/>
    <w:basedOn w:val="Normal"/>
    <w:rsid w:val="00BA39F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character" w:customStyle="1" w:styleId="CLPracticalLink">
    <w:name w:val="CL_PracticalLink"/>
    <w:basedOn w:val="DefaultParagraphFont"/>
    <w:rsid w:val="00BA39F9"/>
    <w:rPr>
      <w:vanish/>
      <w:webHidden w:val="0"/>
      <w:color w:val="auto"/>
      <w:u w:val="words" w:color="FFFFFF"/>
      <w:vertAlign w:val="superscript"/>
      <w:specVanish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D71707"/>
    <w:rPr>
      <w:vertAlign w:val="superscript"/>
    </w:rPr>
  </w:style>
  <w:style w:type="character" w:customStyle="1" w:styleId="PPCRefGASBgasbs34">
    <w:name w:val="PPCRef_GASB_gasbs_34"/>
    <w:basedOn w:val="DefaultParagraphFont"/>
    <w:rsid w:val="00D71707"/>
    <w:rPr>
      <w:color w:val="0000FF"/>
      <w:u w:val="single"/>
    </w:rPr>
  </w:style>
  <w:style w:type="character" w:customStyle="1" w:styleId="PPCRefGASBgasbs37">
    <w:name w:val="PPCRef_GASB_gasbs_37"/>
    <w:basedOn w:val="DefaultParagraphFont"/>
    <w:rsid w:val="00D71707"/>
    <w:rPr>
      <w:color w:val="0000FF"/>
      <w:u w:val="single"/>
    </w:rPr>
  </w:style>
  <w:style w:type="paragraph" w:customStyle="1" w:styleId="Normal0">
    <w:name w:val="@Normal"/>
    <w:rsid w:val="00CA602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7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qid.com/wp/wp-content/uploads/2019/10/Prop-218-Engineers-Report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502FD-CB8C-4105-8324-6DE6538F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Tranquility Irrigation District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Reeves</dc:creator>
  <cp:lastModifiedBy>Emma Almanza</cp:lastModifiedBy>
  <cp:revision>2</cp:revision>
  <cp:lastPrinted>2021-06-07T16:31:00Z</cp:lastPrinted>
  <dcterms:created xsi:type="dcterms:W3CDTF">2021-11-11T19:53:00Z</dcterms:created>
  <dcterms:modified xsi:type="dcterms:W3CDTF">2021-11-11T19:53:00Z</dcterms:modified>
</cp:coreProperties>
</file>